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95" w:rsidRDefault="004B0F35" w:rsidP="00E65B95">
      <w:pPr>
        <w:jc w:val="center"/>
        <w:rPr>
          <w:b/>
        </w:rPr>
      </w:pPr>
      <w:r>
        <w:rPr>
          <w:b/>
        </w:rPr>
        <w:t>Mole Valley District Council</w:t>
      </w:r>
    </w:p>
    <w:p w:rsidR="00E65B95" w:rsidRDefault="00E65B95" w:rsidP="00E65B95">
      <w:pPr>
        <w:tabs>
          <w:tab w:val="left" w:pos="495"/>
        </w:tabs>
        <w:rPr>
          <w:b/>
        </w:rPr>
      </w:pPr>
      <w:r>
        <w:rPr>
          <w:b/>
        </w:rPr>
        <w:tab/>
      </w:r>
    </w:p>
    <w:p w:rsidR="00E65B95" w:rsidRDefault="00E65B95" w:rsidP="00E65B95">
      <w:pPr>
        <w:jc w:val="center"/>
        <w:rPr>
          <w:b/>
        </w:rPr>
      </w:pPr>
      <w:r>
        <w:rPr>
          <w:b/>
        </w:rPr>
        <w:t>LOCAL GOVERNMENT PENSION SCHEME</w:t>
      </w:r>
    </w:p>
    <w:p w:rsidR="00E65B95" w:rsidRDefault="00E65B95" w:rsidP="00E65B95">
      <w:pPr>
        <w:jc w:val="center"/>
        <w:rPr>
          <w:b/>
        </w:rPr>
      </w:pPr>
    </w:p>
    <w:p w:rsidR="00E65B95" w:rsidRDefault="00E65B95" w:rsidP="00E65B95">
      <w:pPr>
        <w:jc w:val="center"/>
        <w:rPr>
          <w:b/>
        </w:rPr>
      </w:pPr>
      <w:r>
        <w:rPr>
          <w:b/>
        </w:rPr>
        <w:t>PAYMENT OF DISCRETIONARY COMPENSATION TO EMPLOYEES</w:t>
      </w:r>
    </w:p>
    <w:p w:rsidR="00E65B95" w:rsidRDefault="00E65B95" w:rsidP="00E65B95">
      <w:pPr>
        <w:jc w:val="center"/>
        <w:rPr>
          <w:b/>
        </w:rPr>
      </w:pPr>
    </w:p>
    <w:p w:rsidR="00E65B95" w:rsidRDefault="00E65B95" w:rsidP="00E65B95">
      <w:pPr>
        <w:jc w:val="center"/>
        <w:rPr>
          <w:b/>
        </w:rPr>
      </w:pPr>
      <w:r>
        <w:rPr>
          <w:b/>
        </w:rPr>
        <w:t>POLICY ON EXERCISE OF EMPLOYER DISCRETIONS</w:t>
      </w:r>
    </w:p>
    <w:p w:rsidR="00E65B95" w:rsidRDefault="00E65B95" w:rsidP="00E65B95">
      <w:pPr>
        <w:rPr>
          <w:b/>
        </w:rPr>
      </w:pPr>
    </w:p>
    <w:p w:rsidR="00E65B95" w:rsidRDefault="004B0F35" w:rsidP="00E65B95">
      <w:r w:rsidRPr="004B0F35">
        <w:t>Mole Valley District Council</w:t>
      </w:r>
      <w:r>
        <w:t xml:space="preserve"> (“MVDC”)</w:t>
      </w:r>
      <w:r w:rsidR="00E65B95" w:rsidRPr="004B0F35">
        <w:t xml:space="preserve"> as</w:t>
      </w:r>
      <w:r w:rsidR="00E65B95">
        <w:t xml:space="preserve"> an employer is under a legal duty to prepare and publish a written statement of its policy relating to certain discretionary powers under the Regulations which apply to the Local Government Pension Scheme (“the LGPS”). </w:t>
      </w:r>
    </w:p>
    <w:p w:rsidR="00E65B95" w:rsidRDefault="00E65B95" w:rsidP="00E65B95"/>
    <w:p w:rsidR="00E65B95" w:rsidRDefault="004B0F35" w:rsidP="00E65B95">
      <w:r>
        <w:t>MVDC</w:t>
      </w:r>
      <w:r w:rsidR="00E65B95">
        <w:t xml:space="preserve"> is also under a duty to formulate, publish and keep under review the policy that </w:t>
      </w:r>
      <w:r>
        <w:t xml:space="preserve">MVDC </w:t>
      </w:r>
      <w:r w:rsidR="00E65B95">
        <w:t xml:space="preserve">applies in exercising discretionary powers under Regulations relating to the payment of compensation to employees whose employment is terminated as a result of redundancy or certain other reasons.  </w:t>
      </w:r>
    </w:p>
    <w:p w:rsidR="00E65B95" w:rsidRDefault="00E65B95" w:rsidP="00E65B95"/>
    <w:p w:rsidR="00E65B95" w:rsidRDefault="00E65B95" w:rsidP="00E65B95">
      <w:r>
        <w:t xml:space="preserve">This document is intended to comply with these duties and, in the following table, sets out the discretionary powers concerned, identifies the relevant Regulation that gives </w:t>
      </w:r>
      <w:r w:rsidR="004B0F35">
        <w:t>MVDC</w:t>
      </w:r>
      <w:r>
        <w:t xml:space="preserve"> the discretion and describes how the discretion will be exercised.</w:t>
      </w:r>
    </w:p>
    <w:p w:rsidR="00E65B95" w:rsidRDefault="00E65B95" w:rsidP="00E65B95"/>
    <w:p w:rsidR="00E65B95" w:rsidRDefault="00E65B95" w:rsidP="00E65B95">
      <w:r>
        <w:t xml:space="preserve">The policy set out in this document will not be departed from except as provided for in the policy or following a </w:t>
      </w:r>
      <w:r w:rsidR="009A22FE">
        <w:t xml:space="preserve">legislative change or </w:t>
      </w:r>
      <w:r>
        <w:t xml:space="preserve">variation to the policy approved by </w:t>
      </w:r>
      <w:r w:rsidR="004B0F35">
        <w:t>MVDC.</w:t>
      </w:r>
    </w:p>
    <w:p w:rsidR="00E65B95" w:rsidRDefault="00E65B95" w:rsidP="00E65B95"/>
    <w:p w:rsidR="00E65B95" w:rsidRDefault="00E65B95" w:rsidP="00E65B95">
      <w:r>
        <w:t xml:space="preserve">This statement is not a definitive statement of the law and is subject to the provisions of the relevant Regulations. </w:t>
      </w:r>
    </w:p>
    <w:p w:rsidR="00E65B95" w:rsidRDefault="00E65B95" w:rsidP="00E65B95"/>
    <w:p w:rsidR="00E65B95" w:rsidRDefault="00E65B95" w:rsidP="00E65B95">
      <w:r>
        <w:t>The Regulations that apply to the LGPS are:</w:t>
      </w:r>
    </w:p>
    <w:p w:rsidR="00E65B95" w:rsidRDefault="00E65B95" w:rsidP="00E65B95"/>
    <w:p w:rsidR="00E65B95" w:rsidRDefault="00E65B95" w:rsidP="00E65B95">
      <w:pPr>
        <w:numPr>
          <w:ilvl w:val="0"/>
          <w:numId w:val="1"/>
        </w:numPr>
      </w:pPr>
      <w:r>
        <w:t>The Local Government Pension Scheme  Regulations 2013 (these are referred to as the “Pensions Regulations”);</w:t>
      </w:r>
    </w:p>
    <w:p w:rsidR="00E65B95" w:rsidRDefault="00E65B95" w:rsidP="00E65B95">
      <w:pPr>
        <w:numPr>
          <w:ilvl w:val="0"/>
          <w:numId w:val="1"/>
        </w:numPr>
      </w:pPr>
      <w:r>
        <w:t xml:space="preserve">The Local Government Pension Scheme (Transitional Provisions, Savings </w:t>
      </w:r>
    </w:p>
    <w:p w:rsidR="00E65B95" w:rsidRDefault="00E65B95" w:rsidP="00E65B95">
      <w:pPr>
        <w:ind w:left="720"/>
      </w:pPr>
      <w:r>
        <w:t>and Amendment) Regulations 2014  (referred to as the “Transitional Regulations”);</w:t>
      </w:r>
    </w:p>
    <w:p w:rsidR="00E65B95" w:rsidRDefault="00E65B95" w:rsidP="00E65B95">
      <w:pPr>
        <w:numPr>
          <w:ilvl w:val="0"/>
          <w:numId w:val="3"/>
        </w:numPr>
        <w:tabs>
          <w:tab w:val="clear" w:pos="1080"/>
          <w:tab w:val="num" w:pos="720"/>
        </w:tabs>
        <w:ind w:left="720"/>
      </w:pPr>
      <w:r>
        <w:t xml:space="preserve">The Local Government Pension Scheme (Benefits, Membership and Contributions) Regulations 2007 applied to the LGPS  before 1 April 2014, are preserved in part on a transitional basis by the Transitional Regulations and are referred to as the “Benefits Regulations”        </w:t>
      </w:r>
    </w:p>
    <w:p w:rsidR="00E65B95" w:rsidRDefault="00E65B95" w:rsidP="00E65B95"/>
    <w:p w:rsidR="00E65B95" w:rsidRDefault="00E65B95" w:rsidP="00E65B95">
      <w:r>
        <w:lastRenderedPageBreak/>
        <w:t>The Regulations which apply to the payment of compensation to employees whose employment is terminated as a result of redundancy</w:t>
      </w:r>
      <w:r w:rsidR="00D643A7">
        <w:t>,</w:t>
      </w:r>
      <w:r>
        <w:t xml:space="preserve"> other specified reasons </w:t>
      </w:r>
      <w:r w:rsidR="00D643A7">
        <w:t xml:space="preserve">or injury </w:t>
      </w:r>
      <w:r>
        <w:t>are:</w:t>
      </w:r>
    </w:p>
    <w:p w:rsidR="00E65B95" w:rsidRDefault="00E65B95" w:rsidP="00E65B95"/>
    <w:p w:rsidR="00E65B95" w:rsidRDefault="00E65B95" w:rsidP="00E65B95">
      <w:pPr>
        <w:numPr>
          <w:ilvl w:val="0"/>
          <w:numId w:val="2"/>
        </w:numPr>
      </w:pPr>
      <w:r>
        <w:t>The Local Government (Early Termination of Employment) (Discretionary Compensation) (England and Wales) Regulations 2006 (referred to as the” Compensation Regulations”).</w:t>
      </w:r>
    </w:p>
    <w:p w:rsidR="00D643A7" w:rsidRDefault="00D643A7" w:rsidP="00E65B95">
      <w:pPr>
        <w:numPr>
          <w:ilvl w:val="0"/>
          <w:numId w:val="2"/>
        </w:numPr>
      </w:pPr>
      <w:r>
        <w:t>The Local Government (Discretionary Payments) (Injury</w:t>
      </w:r>
      <w:r>
        <w:br/>
        <w:t xml:space="preserve">Allowances) Regulations 2011 (referred to as the “Injury Regulations”). </w:t>
      </w:r>
    </w:p>
    <w:p w:rsidR="00E65B95" w:rsidRDefault="00E65B95" w:rsidP="00E65B95"/>
    <w:p w:rsidR="00E65B95" w:rsidRDefault="00E65B95" w:rsidP="00E65B95">
      <w:r>
        <w:t>In the table below:</w:t>
      </w:r>
    </w:p>
    <w:p w:rsidR="00E65B95" w:rsidRDefault="00E65B95" w:rsidP="00E65B95"/>
    <w:p w:rsidR="00E65B95" w:rsidRDefault="00E65B95" w:rsidP="00E65B95">
      <w:pPr>
        <w:ind w:left="360"/>
      </w:pPr>
      <w:r>
        <w:t xml:space="preserve">(1) “The Scheme” or “the Pension Scheme” means the LGPS and “the Fund”  </w:t>
      </w:r>
    </w:p>
    <w:p w:rsidR="00E65B95" w:rsidRDefault="00E65B95" w:rsidP="00E65B95">
      <w:pPr>
        <w:ind w:left="360"/>
      </w:pPr>
      <w:r>
        <w:t xml:space="preserve">     or “the Pension Fund” means the fund maintained under the LGPS;</w:t>
      </w:r>
    </w:p>
    <w:p w:rsidR="00E65B95" w:rsidRDefault="00E65B95" w:rsidP="00E65B95">
      <w:pPr>
        <w:ind w:left="720" w:hanging="360"/>
      </w:pPr>
    </w:p>
    <w:p w:rsidR="00E65B95" w:rsidRDefault="00E65B95" w:rsidP="00E65B95">
      <w:pPr>
        <w:ind w:left="360"/>
      </w:pPr>
      <w:r>
        <w:t>(2) “Member” means a member of the LGPS;</w:t>
      </w:r>
    </w:p>
    <w:p w:rsidR="00E65B95" w:rsidRDefault="00E65B95" w:rsidP="00E65B95">
      <w:pPr>
        <w:ind w:left="360"/>
      </w:pPr>
    </w:p>
    <w:p w:rsidR="00E65B95" w:rsidRDefault="00E65B95" w:rsidP="00E65B95">
      <w:pPr>
        <w:ind w:left="360"/>
      </w:pPr>
      <w:r>
        <w:t xml:space="preserve">(3) “Active member” means a member in employment and paying, or treated   </w:t>
      </w:r>
    </w:p>
    <w:p w:rsidR="00E65B95" w:rsidRDefault="00E65B95" w:rsidP="00E65B95">
      <w:pPr>
        <w:ind w:left="360"/>
      </w:pPr>
      <w:r>
        <w:t xml:space="preserve">     as paying, contributions to the LGPS, or absent from employment for a </w:t>
      </w:r>
    </w:p>
    <w:p w:rsidR="00E65B95" w:rsidRDefault="00E65B95" w:rsidP="00E65B95">
      <w:pPr>
        <w:ind w:left="360"/>
      </w:pPr>
      <w:r>
        <w:t xml:space="preserve">     reason mentioned in Regulation 11 of the Pensions Regulations.</w:t>
      </w:r>
    </w:p>
    <w:p w:rsidR="00E65B95" w:rsidRDefault="00E65B95" w:rsidP="00E65B95">
      <w:pPr>
        <w:ind w:left="360"/>
      </w:pPr>
    </w:p>
    <w:p w:rsidR="00E65B95" w:rsidRDefault="00E65B95" w:rsidP="00E65B95">
      <w:pPr>
        <w:ind w:left="720" w:hanging="360"/>
      </w:pPr>
      <w:r>
        <w:t xml:space="preserve">(4) References to a member with transitional protection are those who can count membership accrued before 1 October 2006 </w:t>
      </w:r>
      <w:r w:rsidRPr="00FB610C">
        <w:rPr>
          <w:u w:val="single"/>
        </w:rPr>
        <w:t>and</w:t>
      </w:r>
      <w:r>
        <w:t xml:space="preserve"> who have statutory transitional protection under the Transitional Regulations, wholly or partly, from changes that would otherwise be made to their pension entitlements and/or from actuarial reductions that would otherwise be applied to their pension benefits as a result of the coming into force of the Pensions Regulations on 1 April 2014.  </w:t>
      </w:r>
    </w:p>
    <w:p w:rsidR="00E65B95" w:rsidRDefault="00E65B95" w:rsidP="00E65B95">
      <w:pPr>
        <w:ind w:left="720" w:hanging="360"/>
      </w:pPr>
    </w:p>
    <w:p w:rsidR="00E65B95" w:rsidRDefault="00E65B95" w:rsidP="00E65B95">
      <w:pPr>
        <w:ind w:left="720" w:hanging="360"/>
      </w:pPr>
      <w:r>
        <w:t xml:space="preserve">(5) References to a member meeting “the 85 year rule” are those a members whose age in whole years when added to the member’s total membership in whole years is 85 years or more.           </w:t>
      </w:r>
    </w:p>
    <w:p w:rsidR="00E65B95" w:rsidRDefault="00E65B95" w:rsidP="00E65B95">
      <w:pPr>
        <w:ind w:left="720" w:hanging="360"/>
      </w:pPr>
    </w:p>
    <w:p w:rsidR="00E65B95" w:rsidRDefault="00E65B95" w:rsidP="00E65B95">
      <w:r>
        <w:t xml:space="preserve">The power to exercise and to take any decision in relation to the each of the discretions is delegated to </w:t>
      </w:r>
      <w:r w:rsidR="004B0F35">
        <w:t>MVDC.</w:t>
      </w:r>
      <w:r>
        <w:t xml:space="preserve">  </w:t>
      </w:r>
    </w:p>
    <w:p w:rsidR="00E65B95" w:rsidRDefault="00E65B95" w:rsidP="00E65B95"/>
    <w:p w:rsidR="00E65B95" w:rsidRDefault="00E65B95" w:rsidP="00E65B95">
      <w:r>
        <w:t>This statement was approved by</w:t>
      </w:r>
      <w:r w:rsidR="004B0F35">
        <w:t xml:space="preserve"> MVDC</w:t>
      </w:r>
      <w:r w:rsidRPr="00D512F5">
        <w:rPr>
          <w:b/>
        </w:rPr>
        <w:t xml:space="preserve"> </w:t>
      </w:r>
      <w:r>
        <w:t xml:space="preserve">and is intended to comply </w:t>
      </w:r>
      <w:r w:rsidRPr="00D512F5">
        <w:t>with</w:t>
      </w:r>
      <w:r w:rsidRPr="00D512F5">
        <w:rPr>
          <w:b/>
        </w:rPr>
        <w:t xml:space="preserve"> </w:t>
      </w:r>
      <w:r w:rsidR="004B0F35">
        <w:t xml:space="preserve">MVDC’s </w:t>
      </w:r>
      <w:r>
        <w:t>duties under Regulation 60 of the Pensions Regulations</w:t>
      </w:r>
      <w:r w:rsidR="00D643A7">
        <w:t>,</w:t>
      </w:r>
      <w:r>
        <w:t xml:space="preserve"> Regulation 7 of the Compensation Regulations</w:t>
      </w:r>
      <w:r w:rsidR="00D643A7">
        <w:t xml:space="preserve"> and Regulation 14 of the Injury Regulations.</w:t>
      </w:r>
      <w:r>
        <w:t xml:space="preserve">   </w:t>
      </w:r>
    </w:p>
    <w:p w:rsidR="00EA0F45" w:rsidRDefault="00833EED">
      <w:pPr>
        <w:rPr>
          <w:b/>
        </w:rPr>
      </w:pPr>
      <w:r w:rsidRPr="00CD584F">
        <w:rPr>
          <w:b/>
        </w:rPr>
        <w:t>19</w:t>
      </w:r>
      <w:r w:rsidRPr="00CD584F">
        <w:rPr>
          <w:b/>
          <w:vertAlign w:val="superscript"/>
        </w:rPr>
        <w:t>th</w:t>
      </w:r>
      <w:r w:rsidRPr="00CD584F">
        <w:rPr>
          <w:b/>
        </w:rPr>
        <w:t xml:space="preserve"> November 2020</w:t>
      </w:r>
    </w:p>
    <w:p w:rsidR="00CD584F" w:rsidRDefault="00CD584F">
      <w:pPr>
        <w:rPr>
          <w:b/>
        </w:rPr>
      </w:pPr>
    </w:p>
    <w:p w:rsidR="00CD584F" w:rsidRPr="00CD584F" w:rsidRDefault="00CD584F">
      <w:pPr>
        <w:rPr>
          <w:b/>
        </w:rPr>
      </w:pPr>
    </w:p>
    <w:p w:rsidR="00CD584F" w:rsidRPr="00CD584F" w:rsidRDefault="00CD584F" w:rsidP="00CD584F">
      <w:pPr>
        <w:rPr>
          <w:b/>
          <w:u w:val="single"/>
        </w:rPr>
      </w:pPr>
      <w:r w:rsidRPr="00CD584F">
        <w:rPr>
          <w:b/>
          <w:u w:val="single"/>
        </w:rPr>
        <w:t>ANNEX: Discretions – Pensions Policy Statement</w:t>
      </w:r>
    </w:p>
    <w:tbl>
      <w:tblPr>
        <w:tblpPr w:leftFromText="180" w:rightFromText="180" w:vertAnchor="page" w:horzAnchor="page" w:tblpX="649" w:tblpY="1261"/>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034"/>
        <w:gridCol w:w="1494"/>
        <w:gridCol w:w="2794"/>
        <w:gridCol w:w="3652"/>
        <w:gridCol w:w="4109"/>
      </w:tblGrid>
      <w:tr w:rsidR="00CD584F" w:rsidRPr="00EE6454" w:rsidTr="00BE7295">
        <w:trPr>
          <w:trHeight w:val="557"/>
        </w:trPr>
        <w:tc>
          <w:tcPr>
            <w:tcW w:w="222"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No.</w:t>
            </w:r>
          </w:p>
        </w:tc>
        <w:tc>
          <w:tcPr>
            <w:tcW w:w="690"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Area</w:t>
            </w:r>
          </w:p>
        </w:tc>
        <w:tc>
          <w:tcPr>
            <w:tcW w:w="507"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rPr>
            </w:pPr>
            <w:r w:rsidRPr="00EE6454">
              <w:rPr>
                <w:rFonts w:cs="Arial"/>
                <w:b/>
              </w:rPr>
              <w:t>Regulation</w:t>
            </w:r>
          </w:p>
        </w:tc>
        <w:tc>
          <w:tcPr>
            <w:tcW w:w="948" w:type="pct"/>
            <w:shd w:val="clear" w:color="auto" w:fill="E0E0E0"/>
          </w:tcPr>
          <w:p w:rsidR="00CD584F" w:rsidRDefault="00CD584F" w:rsidP="00BE7295">
            <w:pPr>
              <w:jc w:val="center"/>
              <w:rPr>
                <w:rFonts w:cs="Arial"/>
                <w:b/>
              </w:rPr>
            </w:pPr>
          </w:p>
          <w:p w:rsidR="00CD584F" w:rsidRPr="00EE6454" w:rsidRDefault="00CD584F" w:rsidP="00BE7295">
            <w:pPr>
              <w:jc w:val="center"/>
              <w:rPr>
                <w:rFonts w:cs="Arial"/>
                <w:b/>
              </w:rPr>
            </w:pPr>
            <w:r w:rsidRPr="00EE6454">
              <w:rPr>
                <w:rFonts w:cs="Arial"/>
                <w:b/>
              </w:rPr>
              <w:t>Discretion</w:t>
            </w:r>
          </w:p>
        </w:tc>
        <w:tc>
          <w:tcPr>
            <w:tcW w:w="1239" w:type="pct"/>
            <w:shd w:val="clear" w:color="auto" w:fill="E0E0E0"/>
          </w:tcPr>
          <w:p w:rsidR="00CD584F" w:rsidRDefault="00CD584F" w:rsidP="00BE7295">
            <w:pPr>
              <w:jc w:val="center"/>
              <w:rPr>
                <w:b/>
              </w:rPr>
            </w:pPr>
          </w:p>
          <w:p w:rsidR="00CD584F" w:rsidRPr="00EE6454" w:rsidRDefault="00CD584F" w:rsidP="00BE7295">
            <w:pPr>
              <w:jc w:val="center"/>
              <w:rPr>
                <w:b/>
              </w:rPr>
            </w:pPr>
            <w:r w:rsidRPr="00EE6454">
              <w:rPr>
                <w:b/>
              </w:rPr>
              <w:t>Explanation</w:t>
            </w:r>
          </w:p>
        </w:tc>
        <w:tc>
          <w:tcPr>
            <w:tcW w:w="1394" w:type="pct"/>
            <w:shd w:val="clear" w:color="auto" w:fill="E0E0E0"/>
          </w:tcPr>
          <w:p w:rsidR="00CD584F" w:rsidRDefault="00CD584F" w:rsidP="00BE7295">
            <w:pPr>
              <w:jc w:val="center"/>
              <w:rPr>
                <w:b/>
              </w:rPr>
            </w:pPr>
          </w:p>
          <w:p w:rsidR="00CD584F" w:rsidRPr="00EE6454" w:rsidRDefault="00CD584F" w:rsidP="00BE7295">
            <w:pPr>
              <w:jc w:val="center"/>
              <w:rPr>
                <w:b/>
              </w:rPr>
            </w:pPr>
            <w:r>
              <w:rPr>
                <w:b/>
              </w:rPr>
              <w:t>MVDC policy</w:t>
            </w:r>
          </w:p>
        </w:tc>
      </w:tr>
      <w:tr w:rsidR="00CD584F" w:rsidTr="00BE7295">
        <w:tc>
          <w:tcPr>
            <w:tcW w:w="222" w:type="pct"/>
            <w:shd w:val="clear" w:color="auto" w:fill="C5E0B3" w:themeFill="accent6" w:themeFillTint="66"/>
          </w:tcPr>
          <w:p w:rsidR="00CD584F" w:rsidRDefault="00CD584F" w:rsidP="00BE7295">
            <w:pPr>
              <w:rPr>
                <w:b/>
                <w:szCs w:val="22"/>
              </w:rPr>
            </w:pPr>
          </w:p>
          <w:p w:rsidR="00CD584F" w:rsidRDefault="00CD584F" w:rsidP="00BE7295">
            <w:pPr>
              <w:rPr>
                <w:b/>
                <w:szCs w:val="22"/>
              </w:rPr>
            </w:pPr>
            <w:r>
              <w:rPr>
                <w:b/>
                <w:szCs w:val="22"/>
              </w:rPr>
              <w:t>1</w:t>
            </w:r>
          </w:p>
        </w:tc>
        <w:tc>
          <w:tcPr>
            <w:tcW w:w="690" w:type="pct"/>
            <w:shd w:val="clear" w:color="auto" w:fill="C5E0B3" w:themeFill="accent6" w:themeFillTint="66"/>
          </w:tcPr>
          <w:p w:rsidR="00CD584F" w:rsidRDefault="00CD584F" w:rsidP="00BE7295">
            <w:pPr>
              <w:rPr>
                <w:b/>
                <w:szCs w:val="22"/>
              </w:rPr>
            </w:pPr>
          </w:p>
          <w:p w:rsidR="00CD584F" w:rsidRDefault="00CD584F" w:rsidP="00BE7295">
            <w:pPr>
              <w:rPr>
                <w:b/>
                <w:szCs w:val="22"/>
              </w:rPr>
            </w:pPr>
            <w:r>
              <w:rPr>
                <w:b/>
                <w:szCs w:val="22"/>
              </w:rPr>
              <w:t>Whether to vary an employee’s contribution band</w:t>
            </w:r>
          </w:p>
        </w:tc>
        <w:tc>
          <w:tcPr>
            <w:tcW w:w="507"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Regulations 9 and 10 Pensions Regulations</w:t>
            </w:r>
          </w:p>
        </w:tc>
        <w:tc>
          <w:tcPr>
            <w:tcW w:w="948"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Members must pay pension contributions at the appropriate rate set on 1</w:t>
            </w:r>
            <w:r w:rsidRPr="0098658B">
              <w:rPr>
                <w:szCs w:val="22"/>
                <w:vertAlign w:val="superscript"/>
              </w:rPr>
              <w:t>st</w:t>
            </w:r>
            <w:r>
              <w:rPr>
                <w:szCs w:val="22"/>
              </w:rPr>
              <w:t xml:space="preserve"> April or the first day of active membership, if later. The employer may vary the contribution rate if there is a change in employment or a material change that affects the member’s pensionable pay. </w:t>
            </w:r>
          </w:p>
          <w:p w:rsidR="00CD584F" w:rsidRDefault="00CD584F" w:rsidP="00BE7295">
            <w:pPr>
              <w:rPr>
                <w:szCs w:val="22"/>
              </w:rPr>
            </w:pPr>
          </w:p>
        </w:tc>
        <w:tc>
          <w:tcPr>
            <w:tcW w:w="1239"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Contribution bands are set on 1</w:t>
            </w:r>
            <w:r w:rsidRPr="005D5731">
              <w:rPr>
                <w:szCs w:val="22"/>
                <w:vertAlign w:val="superscript"/>
              </w:rPr>
              <w:t>st</w:t>
            </w:r>
            <w:r>
              <w:rPr>
                <w:szCs w:val="22"/>
              </w:rPr>
              <w:t xml:space="preserve"> April but the employer may change them if a member changes jobs or has a material pay increase / decrease.</w:t>
            </w:r>
          </w:p>
          <w:p w:rsidR="00CD584F" w:rsidRDefault="00CD584F" w:rsidP="00BE7295">
            <w:pPr>
              <w:rPr>
                <w:szCs w:val="22"/>
              </w:rPr>
            </w:pPr>
          </w:p>
          <w:p w:rsidR="00CD584F" w:rsidRDefault="00CD584F" w:rsidP="00BE7295">
            <w:pPr>
              <w:rPr>
                <w:szCs w:val="22"/>
              </w:rPr>
            </w:pPr>
          </w:p>
        </w:tc>
        <w:tc>
          <w:tcPr>
            <w:tcW w:w="1394" w:type="pct"/>
            <w:shd w:val="clear" w:color="auto" w:fill="C5E0B3" w:themeFill="accent6" w:themeFillTint="66"/>
          </w:tcPr>
          <w:p w:rsidR="00CD584F" w:rsidRDefault="00CD584F" w:rsidP="00BE7295">
            <w:pPr>
              <w:rPr>
                <w:szCs w:val="22"/>
              </w:rPr>
            </w:pPr>
          </w:p>
          <w:p w:rsidR="00CD584F" w:rsidRDefault="00CD584F" w:rsidP="00BE7295">
            <w:pPr>
              <w:rPr>
                <w:szCs w:val="22"/>
              </w:rPr>
            </w:pPr>
            <w:r>
              <w:rPr>
                <w:szCs w:val="22"/>
              </w:rPr>
              <w:t xml:space="preserve">The employee’s contribution rate will vary according to which of the banding levels is applicable on each pay date.  (Banding levels are generally set annually by administering authority).  </w:t>
            </w:r>
          </w:p>
          <w:p w:rsidR="00CD584F" w:rsidRDefault="00CD584F" w:rsidP="00BE7295">
            <w:pPr>
              <w:rPr>
                <w:szCs w:val="22"/>
              </w:rPr>
            </w:pPr>
          </w:p>
          <w:p w:rsidR="00CD584F" w:rsidRDefault="00CD584F" w:rsidP="00BE7295">
            <w:pPr>
              <w:rPr>
                <w:szCs w:val="22"/>
              </w:rPr>
            </w:pPr>
            <w:r>
              <w:rPr>
                <w:szCs w:val="22"/>
              </w:rPr>
              <w:t>MVDC will only vary the applicable contribution rate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2</w:t>
            </w:r>
          </w:p>
        </w:tc>
        <w:tc>
          <w:tcPr>
            <w:tcW w:w="690" w:type="pct"/>
            <w:shd w:val="clear" w:color="auto" w:fill="BFBFBF" w:themeFill="background1" w:themeFillShade="BF"/>
          </w:tcPr>
          <w:p w:rsidR="00CD584F" w:rsidRDefault="00CD584F" w:rsidP="00BE7295">
            <w:pPr>
              <w:rPr>
                <w:b/>
                <w:szCs w:val="22"/>
              </w:rPr>
            </w:pPr>
            <w:r>
              <w:rPr>
                <w:b/>
                <w:szCs w:val="22"/>
              </w:rPr>
              <w:t>Increase assumed pensionable pay in certain specific circumstances</w:t>
            </w:r>
          </w:p>
        </w:tc>
        <w:tc>
          <w:tcPr>
            <w:tcW w:w="507" w:type="pct"/>
            <w:shd w:val="clear" w:color="auto" w:fill="BFBFBF" w:themeFill="background1" w:themeFillShade="BF"/>
          </w:tcPr>
          <w:p w:rsidR="00CD584F" w:rsidRDefault="00CD584F" w:rsidP="00BE7295">
            <w:pPr>
              <w:rPr>
                <w:szCs w:val="22"/>
              </w:rPr>
            </w:pPr>
            <w:r>
              <w:rPr>
                <w:szCs w:val="22"/>
              </w:rPr>
              <w:t>Regulation 21(5), 21(5A) and 21(5B) Pension Regulations</w:t>
            </w:r>
          </w:p>
        </w:tc>
        <w:tc>
          <w:tcPr>
            <w:tcW w:w="948" w:type="pct"/>
            <w:shd w:val="clear" w:color="auto" w:fill="BFBFBF" w:themeFill="background1" w:themeFillShade="BF"/>
          </w:tcPr>
          <w:p w:rsidR="00CD584F" w:rsidRPr="00EE6454" w:rsidRDefault="00CD584F" w:rsidP="00BE7295">
            <w:pPr>
              <w:rPr>
                <w:szCs w:val="22"/>
              </w:rPr>
            </w:pPr>
            <w:r>
              <w:rPr>
                <w:szCs w:val="22"/>
              </w:rPr>
              <w:t xml:space="preserve">If a member is absent as a result of illness, child related leave or reserve forces leave their pension benefits may be based on assumed pensionable pay (APP). If, in the employer’s opinion, the member’s APP is materially lower than their pay in the </w:t>
            </w:r>
            <w:r w:rsidRPr="00B741F9">
              <w:rPr>
                <w:szCs w:val="22"/>
              </w:rPr>
              <w:t xml:space="preserve">twelve months preceding the </w:t>
            </w:r>
            <w:r>
              <w:rPr>
                <w:szCs w:val="22"/>
              </w:rPr>
              <w:t>absence they can either include (1) a “regular” lump sum received during that period or (2) substitute a higher pensionable pay having regard for their earnings in that period.</w:t>
            </w:r>
          </w:p>
        </w:tc>
        <w:tc>
          <w:tcPr>
            <w:tcW w:w="1239" w:type="pct"/>
            <w:shd w:val="clear" w:color="auto" w:fill="BFBFBF" w:themeFill="background1" w:themeFillShade="BF"/>
          </w:tcPr>
          <w:p w:rsidR="00CD584F" w:rsidRDefault="00CD584F" w:rsidP="00BE7295">
            <w:pPr>
              <w:rPr>
                <w:szCs w:val="22"/>
              </w:rPr>
            </w:pPr>
            <w:r w:rsidRPr="00EE6454">
              <w:rPr>
                <w:szCs w:val="22"/>
              </w:rPr>
              <w:t xml:space="preserve">The employing authority can </w:t>
            </w:r>
            <w:r>
              <w:rPr>
                <w:szCs w:val="22"/>
              </w:rPr>
              <w:t xml:space="preserve">choose to </w:t>
            </w:r>
            <w:r w:rsidRPr="00EE6454">
              <w:rPr>
                <w:szCs w:val="22"/>
              </w:rPr>
              <w:t xml:space="preserve">pay additional pension contributions on behalf of active employees.  </w:t>
            </w:r>
          </w:p>
        </w:tc>
        <w:tc>
          <w:tcPr>
            <w:tcW w:w="1394" w:type="pct"/>
            <w:shd w:val="clear" w:color="auto" w:fill="BFBFBF" w:themeFill="background1" w:themeFillShade="BF"/>
          </w:tcPr>
          <w:p w:rsidR="00CD584F" w:rsidRDefault="00CD584F" w:rsidP="00BE7295">
            <w:pPr>
              <w:rPr>
                <w:szCs w:val="22"/>
              </w:rPr>
            </w:pPr>
            <w:r>
              <w:rPr>
                <w:szCs w:val="22"/>
              </w:rPr>
              <w:t>MVDC will only increase assumed pensionable pay in exceptional circumstances</w:t>
            </w:r>
          </w:p>
        </w:tc>
      </w:tr>
      <w:tr w:rsidR="00CD584F" w:rsidTr="00BE7295">
        <w:tc>
          <w:tcPr>
            <w:tcW w:w="222" w:type="pct"/>
            <w:shd w:val="clear" w:color="auto" w:fill="9CC2E5" w:themeFill="accent1" w:themeFillTint="99"/>
          </w:tcPr>
          <w:p w:rsidR="00CD584F" w:rsidRDefault="00CD584F" w:rsidP="00BE7295">
            <w:pPr>
              <w:rPr>
                <w:b/>
                <w:szCs w:val="22"/>
              </w:rPr>
            </w:pPr>
            <w:r>
              <w:rPr>
                <w:b/>
                <w:szCs w:val="22"/>
              </w:rPr>
              <w:t>3.</w:t>
            </w:r>
          </w:p>
          <w:p w:rsidR="00CD584F" w:rsidRPr="004D0F2B" w:rsidRDefault="00CD584F" w:rsidP="00BE7295">
            <w:pPr>
              <w:rPr>
                <w:szCs w:val="22"/>
              </w:rPr>
            </w:pPr>
          </w:p>
        </w:tc>
        <w:tc>
          <w:tcPr>
            <w:tcW w:w="690" w:type="pct"/>
            <w:shd w:val="clear" w:color="auto" w:fill="9CC2E5" w:themeFill="accent1" w:themeFillTint="99"/>
          </w:tcPr>
          <w:p w:rsidR="00CD584F" w:rsidRDefault="00CD584F" w:rsidP="00BE7295">
            <w:pPr>
              <w:rPr>
                <w:b/>
                <w:szCs w:val="22"/>
              </w:rPr>
            </w:pPr>
            <w:r w:rsidRPr="00EE6454">
              <w:rPr>
                <w:b/>
                <w:szCs w:val="22"/>
              </w:rPr>
              <w:t>Funding of Additional Pension Contributions</w:t>
            </w:r>
          </w:p>
        </w:tc>
        <w:tc>
          <w:tcPr>
            <w:tcW w:w="507" w:type="pct"/>
            <w:shd w:val="clear" w:color="auto" w:fill="9CC2E5" w:themeFill="accent1" w:themeFillTint="99"/>
          </w:tcPr>
          <w:p w:rsidR="00CD584F" w:rsidRDefault="00CD584F" w:rsidP="00BE7295">
            <w:pPr>
              <w:rPr>
                <w:szCs w:val="22"/>
              </w:rPr>
            </w:pPr>
            <w:r w:rsidRPr="00EE6454">
              <w:rPr>
                <w:szCs w:val="22"/>
              </w:rPr>
              <w:t>Regulations 16(2)(e) and 16(4)(d) Pensions  Regulations,</w:t>
            </w:r>
          </w:p>
        </w:tc>
        <w:tc>
          <w:tcPr>
            <w:tcW w:w="948" w:type="pct"/>
            <w:shd w:val="clear" w:color="auto" w:fill="9CC2E5" w:themeFill="accent1" w:themeFillTint="99"/>
          </w:tcPr>
          <w:p w:rsidR="00CD584F" w:rsidRPr="00EE6454" w:rsidRDefault="00CD584F" w:rsidP="00BE7295">
            <w:pPr>
              <w:rPr>
                <w:szCs w:val="22"/>
              </w:rPr>
            </w:pPr>
            <w:r w:rsidRPr="00EE6454">
              <w:rPr>
                <w:szCs w:val="22"/>
              </w:rPr>
              <w:t xml:space="preserve">Whether to fund, in whole or in part, a shared cost additional pension contributions (SCAPC) on behalf of an active member by regular contributions (Regulation 16(2)(e)) or by lump sum (Regulation 16(4)(d)). </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Default="00CD584F" w:rsidP="00BE7295">
            <w:pPr>
              <w:rPr>
                <w:szCs w:val="22"/>
              </w:rPr>
            </w:pPr>
            <w:r w:rsidRPr="00EE6454">
              <w:rPr>
                <w:szCs w:val="22"/>
              </w:rPr>
              <w:t xml:space="preserve">The amount of additional pension that may be credited to an active member’s pension accounts may not exceed the </w:t>
            </w:r>
            <w:r>
              <w:rPr>
                <w:szCs w:val="22"/>
              </w:rPr>
              <w:t xml:space="preserve">overall </w:t>
            </w:r>
            <w:r w:rsidRPr="00EE6454">
              <w:rPr>
                <w:szCs w:val="22"/>
              </w:rPr>
              <w:t>additional pension limit of £</w:t>
            </w:r>
            <w:r>
              <w:rPr>
                <w:szCs w:val="22"/>
              </w:rPr>
              <w:t>7,026.00</w:t>
            </w:r>
            <w:r w:rsidRPr="00EE6454">
              <w:rPr>
                <w:szCs w:val="22"/>
              </w:rPr>
              <w:t xml:space="preserve"> (</w:t>
            </w:r>
            <w:r>
              <w:rPr>
                <w:szCs w:val="22"/>
              </w:rPr>
              <w:t>6</w:t>
            </w:r>
            <w:r w:rsidRPr="00DD6B96">
              <w:rPr>
                <w:szCs w:val="22"/>
                <w:vertAlign w:val="superscript"/>
              </w:rPr>
              <w:t>th</w:t>
            </w:r>
            <w:r>
              <w:rPr>
                <w:szCs w:val="22"/>
              </w:rPr>
              <w:t xml:space="preserve"> </w:t>
            </w:r>
            <w:r w:rsidRPr="00EE6454">
              <w:rPr>
                <w:szCs w:val="22"/>
              </w:rPr>
              <w:t>April 201</w:t>
            </w:r>
            <w:r>
              <w:rPr>
                <w:szCs w:val="22"/>
              </w:rPr>
              <w:t>9</w:t>
            </w:r>
            <w:r w:rsidRPr="00EE6454">
              <w:rPr>
                <w:szCs w:val="22"/>
              </w:rPr>
              <w:t xml:space="preserve"> and uplifted annually).</w:t>
            </w:r>
          </w:p>
          <w:p w:rsidR="00A44EC2" w:rsidRDefault="00A44EC2" w:rsidP="00BE7295">
            <w:pPr>
              <w:rPr>
                <w:szCs w:val="22"/>
              </w:rPr>
            </w:pPr>
          </w:p>
          <w:p w:rsidR="00A44EC2" w:rsidRDefault="00A44EC2" w:rsidP="00BE7295">
            <w:pPr>
              <w:rPr>
                <w:szCs w:val="22"/>
              </w:rPr>
            </w:pPr>
          </w:p>
          <w:p w:rsidR="00CD584F" w:rsidRPr="00EE6454" w:rsidRDefault="00CD584F" w:rsidP="00BE7295">
            <w:pPr>
              <w:rPr>
                <w:szCs w:val="22"/>
              </w:rPr>
            </w:pPr>
          </w:p>
        </w:tc>
        <w:tc>
          <w:tcPr>
            <w:tcW w:w="1239" w:type="pct"/>
            <w:shd w:val="clear" w:color="auto" w:fill="9CC2E5" w:themeFill="accent1" w:themeFillTint="99"/>
          </w:tcPr>
          <w:p w:rsidR="00CD584F" w:rsidRDefault="00CD584F" w:rsidP="00BE7295">
            <w:pPr>
              <w:rPr>
                <w:szCs w:val="22"/>
              </w:rPr>
            </w:pPr>
            <w:r w:rsidRPr="00EE6454">
              <w:rPr>
                <w:szCs w:val="22"/>
              </w:rPr>
              <w:t xml:space="preserve">The employing authority can </w:t>
            </w:r>
            <w:r>
              <w:rPr>
                <w:szCs w:val="22"/>
              </w:rPr>
              <w:t xml:space="preserve">choose to </w:t>
            </w:r>
            <w:r w:rsidRPr="00EE6454">
              <w:rPr>
                <w:szCs w:val="22"/>
              </w:rPr>
              <w:t>pay additional pension contributions on behalf of active employees</w:t>
            </w:r>
          </w:p>
        </w:tc>
        <w:tc>
          <w:tcPr>
            <w:tcW w:w="1394" w:type="pct"/>
            <w:shd w:val="clear" w:color="auto" w:fill="9CC2E5" w:themeFill="accent1" w:themeFillTint="99"/>
          </w:tcPr>
          <w:p w:rsidR="00CD584F" w:rsidRDefault="00CD584F" w:rsidP="00BE7295">
            <w:pPr>
              <w:rPr>
                <w:szCs w:val="22"/>
              </w:rPr>
            </w:pPr>
            <w:r>
              <w:rPr>
                <w:szCs w:val="22"/>
              </w:rPr>
              <w:t xml:space="preserve">MVDC will only contribute towards APCs in exceptional circumstances. </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4.</w:t>
            </w:r>
          </w:p>
        </w:tc>
        <w:tc>
          <w:tcPr>
            <w:tcW w:w="690" w:type="pct"/>
            <w:shd w:val="clear" w:color="auto" w:fill="BFBFBF" w:themeFill="background1" w:themeFillShade="BF"/>
          </w:tcPr>
          <w:p w:rsidR="00CD584F" w:rsidRDefault="00CD584F" w:rsidP="00BE7295">
            <w:pPr>
              <w:rPr>
                <w:b/>
                <w:szCs w:val="22"/>
              </w:rPr>
            </w:pPr>
            <w:r>
              <w:rPr>
                <w:b/>
                <w:szCs w:val="22"/>
              </w:rPr>
              <w:t>Shared Cost Additional Voluntary Contributions (SCAVCs)</w:t>
            </w:r>
          </w:p>
        </w:tc>
        <w:tc>
          <w:tcPr>
            <w:tcW w:w="507" w:type="pct"/>
            <w:shd w:val="clear" w:color="auto" w:fill="BFBFBF" w:themeFill="background1" w:themeFillShade="BF"/>
          </w:tcPr>
          <w:p w:rsidR="00CD584F" w:rsidRDefault="00CD584F" w:rsidP="00BE7295">
            <w:pPr>
              <w:rPr>
                <w:szCs w:val="22"/>
              </w:rPr>
            </w:pPr>
            <w:r>
              <w:rPr>
                <w:szCs w:val="22"/>
              </w:rPr>
              <w:t>Regulation 17(1) and Schedule 1 (definition of SCAVC) Pension Regulations.</w:t>
            </w:r>
          </w:p>
          <w:p w:rsidR="00CD584F" w:rsidRDefault="00CD584F" w:rsidP="00BE7295">
            <w:pPr>
              <w:rPr>
                <w:szCs w:val="22"/>
              </w:rPr>
            </w:pPr>
          </w:p>
        </w:tc>
        <w:tc>
          <w:tcPr>
            <w:tcW w:w="948" w:type="pct"/>
            <w:shd w:val="clear" w:color="auto" w:fill="BFBFBF" w:themeFill="background1" w:themeFillShade="BF"/>
          </w:tcPr>
          <w:p w:rsidR="00CD584F" w:rsidRPr="00B87319" w:rsidRDefault="00CD584F" w:rsidP="00BE7295">
            <w:pPr>
              <w:rPr>
                <w:color w:val="00B050"/>
                <w:szCs w:val="22"/>
              </w:rPr>
            </w:pPr>
            <w:r>
              <w:rPr>
                <w:szCs w:val="22"/>
              </w:rPr>
              <w:t>Whether to contribute towards a Shared Cost Additional Contribution arrangement. Pre-2014 SCAVCs also fall under Regulation 17 by virtue of Regulation 15(2A) Transitional Regulations.</w:t>
            </w:r>
          </w:p>
        </w:tc>
        <w:tc>
          <w:tcPr>
            <w:tcW w:w="1239" w:type="pct"/>
            <w:shd w:val="clear" w:color="auto" w:fill="BFBFBF" w:themeFill="background1" w:themeFillShade="BF"/>
          </w:tcPr>
          <w:p w:rsidR="00CD584F" w:rsidRPr="00EE6454" w:rsidRDefault="00CD584F" w:rsidP="00BE7295">
            <w:pPr>
              <w:rPr>
                <w:szCs w:val="22"/>
              </w:rPr>
            </w:pPr>
            <w:r>
              <w:rPr>
                <w:szCs w:val="22"/>
              </w:rPr>
              <w:t>An employer can choose to contribute towards a SCAVC.</w:t>
            </w:r>
          </w:p>
        </w:tc>
        <w:tc>
          <w:tcPr>
            <w:tcW w:w="1394" w:type="pct"/>
            <w:shd w:val="clear" w:color="auto" w:fill="BFBFBF" w:themeFill="background1" w:themeFillShade="BF"/>
          </w:tcPr>
          <w:p w:rsidR="00CD584F" w:rsidRDefault="00CD584F" w:rsidP="00BE7295">
            <w:pPr>
              <w:rPr>
                <w:szCs w:val="22"/>
              </w:rPr>
            </w:pPr>
            <w:r>
              <w:rPr>
                <w:szCs w:val="22"/>
              </w:rPr>
              <w:t>MVDC will only contribute to a SCAVC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5.</w:t>
            </w:r>
          </w:p>
        </w:tc>
        <w:tc>
          <w:tcPr>
            <w:tcW w:w="690" w:type="pct"/>
            <w:shd w:val="clear" w:color="auto" w:fill="BFBFBF" w:themeFill="background1" w:themeFillShade="BF"/>
          </w:tcPr>
          <w:p w:rsidR="00CD584F" w:rsidRDefault="00CD584F" w:rsidP="00BE7295">
            <w:pPr>
              <w:rPr>
                <w:b/>
                <w:szCs w:val="22"/>
              </w:rPr>
            </w:pPr>
            <w:r>
              <w:rPr>
                <w:b/>
                <w:szCs w:val="22"/>
              </w:rPr>
              <w:t>Whether to grant early payment of pension on compassionate grounds (pre-1</w:t>
            </w:r>
            <w:r w:rsidRPr="00A86170">
              <w:rPr>
                <w:b/>
                <w:szCs w:val="22"/>
                <w:vertAlign w:val="superscript"/>
              </w:rPr>
              <w:t>st</w:t>
            </w:r>
            <w:r>
              <w:rPr>
                <w:b/>
                <w:szCs w:val="22"/>
              </w:rPr>
              <w:t xml:space="preserve"> April 1998 leavers)</w:t>
            </w:r>
          </w:p>
        </w:tc>
        <w:tc>
          <w:tcPr>
            <w:tcW w:w="507" w:type="pct"/>
            <w:shd w:val="clear" w:color="auto" w:fill="BFBFBF" w:themeFill="background1" w:themeFillShade="BF"/>
          </w:tcPr>
          <w:p w:rsidR="00CD584F" w:rsidRDefault="00CD584F" w:rsidP="00BE7295">
            <w:pPr>
              <w:rPr>
                <w:szCs w:val="22"/>
              </w:rPr>
            </w:pPr>
            <w:r>
              <w:rPr>
                <w:szCs w:val="22"/>
              </w:rPr>
              <w:t>Regulation D11(2)(c) of 1995 Regulations</w:t>
            </w:r>
          </w:p>
        </w:tc>
        <w:tc>
          <w:tcPr>
            <w:tcW w:w="948" w:type="pct"/>
            <w:shd w:val="clear" w:color="auto" w:fill="BFBFBF" w:themeFill="background1" w:themeFillShade="BF"/>
          </w:tcPr>
          <w:p w:rsidR="00CD584F" w:rsidRDefault="00CD584F" w:rsidP="00BE7295">
            <w:pPr>
              <w:rPr>
                <w:szCs w:val="22"/>
              </w:rPr>
            </w:pPr>
            <w:r>
              <w:rPr>
                <w:szCs w:val="22"/>
              </w:rPr>
              <w:t xml:space="preserve">Whether to agree to early payment of pension benefits from age 50 on compassionate grounds. The employer should note that pension benefits paid before age 55 may attract an unauthorised payments surcharge and they may have to pay a strain cost because the pension benefits cannot be reduced.  </w:t>
            </w:r>
          </w:p>
          <w:p w:rsidR="00CD584F" w:rsidRPr="00EE6454" w:rsidRDefault="00CD584F" w:rsidP="00BE7295">
            <w:pPr>
              <w:rPr>
                <w:szCs w:val="22"/>
              </w:rPr>
            </w:pPr>
          </w:p>
        </w:tc>
        <w:tc>
          <w:tcPr>
            <w:tcW w:w="1239" w:type="pct"/>
            <w:shd w:val="clear" w:color="auto" w:fill="BFBFBF" w:themeFill="background1" w:themeFillShade="BF"/>
          </w:tcPr>
          <w:p w:rsidR="00CD584F" w:rsidRDefault="00CD584F" w:rsidP="00BE7295">
            <w:pPr>
              <w:rPr>
                <w:szCs w:val="22"/>
              </w:rPr>
            </w:pPr>
            <w:r>
              <w:rPr>
                <w:szCs w:val="22"/>
              </w:rPr>
              <w:t>The employer may agree to payment from age 50, but they may incur an unauthorised payments surcharge and/or a capital cost.</w:t>
            </w:r>
          </w:p>
        </w:tc>
        <w:tc>
          <w:tcPr>
            <w:tcW w:w="1394" w:type="pct"/>
            <w:shd w:val="clear" w:color="auto" w:fill="BFBFBF" w:themeFill="background1" w:themeFillShade="BF"/>
          </w:tcPr>
          <w:p w:rsidR="00CD584F" w:rsidRDefault="00CD584F" w:rsidP="00BE7295">
            <w:pPr>
              <w:rPr>
                <w:szCs w:val="22"/>
              </w:rPr>
            </w:pPr>
            <w:r>
              <w:rPr>
                <w:szCs w:val="22"/>
              </w:rPr>
              <w:t>MVDC will only grant early payment of pension in exceptional circumstances.</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6.</w:t>
            </w:r>
          </w:p>
        </w:tc>
        <w:tc>
          <w:tcPr>
            <w:tcW w:w="690" w:type="pct"/>
            <w:shd w:val="clear" w:color="auto" w:fill="C5E0B3" w:themeFill="accent6" w:themeFillTint="66"/>
          </w:tcPr>
          <w:p w:rsidR="00CD584F" w:rsidRDefault="00CD584F" w:rsidP="00BE7295">
            <w:pPr>
              <w:rPr>
                <w:b/>
                <w:szCs w:val="22"/>
              </w:rPr>
            </w:pPr>
            <w:r w:rsidRPr="00EE6454">
              <w:rPr>
                <w:b/>
                <w:szCs w:val="22"/>
              </w:rPr>
              <w:t>Flexible Retirement</w:t>
            </w:r>
          </w:p>
        </w:tc>
        <w:tc>
          <w:tcPr>
            <w:tcW w:w="507" w:type="pct"/>
            <w:shd w:val="clear" w:color="auto" w:fill="C5E0B3" w:themeFill="accent6" w:themeFillTint="66"/>
          </w:tcPr>
          <w:p w:rsidR="00CD584F" w:rsidRDefault="00CD584F" w:rsidP="00BE7295">
            <w:pPr>
              <w:rPr>
                <w:szCs w:val="22"/>
              </w:rPr>
            </w:pPr>
            <w:r w:rsidRPr="00EE6454">
              <w:rPr>
                <w:szCs w:val="22"/>
              </w:rPr>
              <w:t>Regulation 30(6), Pensions Regulations</w:t>
            </w:r>
          </w:p>
          <w:p w:rsidR="00CD584F" w:rsidRDefault="00CD584F" w:rsidP="00BE7295">
            <w:pPr>
              <w:rPr>
                <w:szCs w:val="22"/>
              </w:rPr>
            </w:pPr>
          </w:p>
          <w:p w:rsidR="00CD584F" w:rsidRDefault="00CD584F" w:rsidP="00BE7295">
            <w:pPr>
              <w:rPr>
                <w:szCs w:val="22"/>
              </w:rPr>
            </w:pPr>
            <w:r>
              <w:rPr>
                <w:szCs w:val="22"/>
              </w:rPr>
              <w:t>Regulations 11(2) and (3) of  Transitional Regulations</w:t>
            </w:r>
          </w:p>
        </w:tc>
        <w:tc>
          <w:tcPr>
            <w:tcW w:w="948" w:type="pct"/>
            <w:shd w:val="clear" w:color="auto" w:fill="C5E0B3" w:themeFill="accent6" w:themeFillTint="66"/>
          </w:tcPr>
          <w:p w:rsidR="00CD584F" w:rsidRPr="00EE6454" w:rsidRDefault="00CD584F" w:rsidP="00BE7295">
            <w:pPr>
              <w:rPr>
                <w:szCs w:val="22"/>
              </w:rPr>
            </w:pPr>
            <w:r w:rsidRPr="00EE6454">
              <w:rPr>
                <w:szCs w:val="22"/>
              </w:rPr>
              <w:t xml:space="preserve">Whether to agree to an employee aged 55 or over reducing their hours of work or their grade so that they may receive all or some of their retirement pension while still employed. </w:t>
            </w:r>
          </w:p>
          <w:p w:rsidR="00CD584F" w:rsidRPr="00EE6454" w:rsidRDefault="00CD584F" w:rsidP="00BE7295">
            <w:pPr>
              <w:rPr>
                <w:szCs w:val="22"/>
              </w:rPr>
            </w:pPr>
          </w:p>
          <w:p w:rsidR="00CD584F" w:rsidRDefault="00CD584F" w:rsidP="00BE7295">
            <w:pPr>
              <w:rPr>
                <w:szCs w:val="22"/>
              </w:rPr>
            </w:pPr>
            <w:r w:rsidRPr="00EE6454">
              <w:rPr>
                <w:szCs w:val="22"/>
              </w:rPr>
              <w:t>Whether, in addition to any pre-1</w:t>
            </w:r>
            <w:r w:rsidRPr="00EE6454">
              <w:rPr>
                <w:szCs w:val="22"/>
                <w:vertAlign w:val="superscript"/>
              </w:rPr>
              <w:t>st</w:t>
            </w:r>
            <w:r w:rsidRPr="00EE6454">
              <w:rPr>
                <w:szCs w:val="22"/>
              </w:rPr>
              <w:t xml:space="preserve"> April </w:t>
            </w:r>
            <w:r>
              <w:rPr>
                <w:szCs w:val="22"/>
              </w:rPr>
              <w:t>2008</w:t>
            </w:r>
            <w:r w:rsidRPr="00EE6454">
              <w:rPr>
                <w:szCs w:val="22"/>
              </w:rPr>
              <w:t xml:space="preserve"> pension benefits which the member must draw, to permit the member to draw; (a) all, part or none of benefits accrued between 1</w:t>
            </w:r>
            <w:r w:rsidRPr="00EE6454">
              <w:rPr>
                <w:szCs w:val="22"/>
                <w:vertAlign w:val="superscript"/>
              </w:rPr>
              <w:t>st</w:t>
            </w:r>
            <w:r w:rsidRPr="00EE6454">
              <w:rPr>
                <w:szCs w:val="22"/>
              </w:rPr>
              <w:t xml:space="preserve"> April </w:t>
            </w:r>
            <w:r>
              <w:rPr>
                <w:szCs w:val="22"/>
              </w:rPr>
              <w:t>2008</w:t>
            </w:r>
            <w:r w:rsidRPr="00EE6454">
              <w:rPr>
                <w:szCs w:val="22"/>
              </w:rPr>
              <w:t xml:space="preserve"> and 31</w:t>
            </w:r>
            <w:r w:rsidRPr="00EE6454">
              <w:rPr>
                <w:szCs w:val="22"/>
                <w:vertAlign w:val="superscript"/>
              </w:rPr>
              <w:t>st</w:t>
            </w:r>
            <w:r w:rsidRPr="00EE6454">
              <w:rPr>
                <w:szCs w:val="22"/>
              </w:rPr>
              <w:t xml:space="preserve"> March 2014 and (b) all,</w:t>
            </w:r>
            <w:r>
              <w:rPr>
                <w:szCs w:val="22"/>
              </w:rPr>
              <w:t xml:space="preserve"> part or none of </w:t>
            </w:r>
            <w:r w:rsidRPr="00EE6454">
              <w:rPr>
                <w:szCs w:val="22"/>
              </w:rPr>
              <w:t>the pension benefits built up after 31</w:t>
            </w:r>
            <w:r w:rsidRPr="00EE6454">
              <w:rPr>
                <w:szCs w:val="22"/>
                <w:vertAlign w:val="superscript"/>
              </w:rPr>
              <w:t>st</w:t>
            </w:r>
            <w:r w:rsidRPr="00EE6454">
              <w:rPr>
                <w:szCs w:val="22"/>
              </w:rPr>
              <w:t xml:space="preserve"> March 2014</w:t>
            </w:r>
          </w:p>
        </w:tc>
        <w:tc>
          <w:tcPr>
            <w:tcW w:w="1239" w:type="pct"/>
            <w:shd w:val="clear" w:color="auto" w:fill="C5E0B3" w:themeFill="accent6" w:themeFillTint="66"/>
          </w:tcPr>
          <w:p w:rsidR="00CD584F" w:rsidRPr="00EE6454" w:rsidRDefault="00CD584F" w:rsidP="00BE7295">
            <w:pPr>
              <w:rPr>
                <w:szCs w:val="22"/>
              </w:rPr>
            </w:pPr>
            <w:r w:rsidRPr="00EE6454">
              <w:rPr>
                <w:szCs w:val="22"/>
              </w:rPr>
              <w:t xml:space="preserve">The employing authority can agree to an employee aged 55 or over drawing all or some of their pension and continuing to work in the same employment on reduced hours, pay or grade. </w:t>
            </w:r>
          </w:p>
          <w:p w:rsidR="00CD584F" w:rsidRPr="00EE6454" w:rsidRDefault="00CD584F" w:rsidP="00BE7295">
            <w:pPr>
              <w:rPr>
                <w:szCs w:val="22"/>
              </w:rPr>
            </w:pPr>
          </w:p>
          <w:p w:rsidR="00CD584F" w:rsidRDefault="00CD584F" w:rsidP="00BE7295">
            <w:pPr>
              <w:rPr>
                <w:szCs w:val="22"/>
              </w:rPr>
            </w:pPr>
            <w:r w:rsidRPr="00EE6454">
              <w:rPr>
                <w:szCs w:val="22"/>
              </w:rPr>
              <w:t>The employer should note that granting consent would trigge</w:t>
            </w:r>
            <w:r>
              <w:rPr>
                <w:szCs w:val="22"/>
              </w:rPr>
              <w:t>r the 85-year rule and may require</w:t>
            </w:r>
            <w:r w:rsidRPr="00EE6454">
              <w:rPr>
                <w:szCs w:val="22"/>
              </w:rPr>
              <w:t xml:space="preserve"> a </w:t>
            </w:r>
            <w:r>
              <w:rPr>
                <w:szCs w:val="22"/>
              </w:rPr>
              <w:t>capital payment</w:t>
            </w:r>
            <w:r w:rsidRPr="00EE6454">
              <w:rPr>
                <w:szCs w:val="22"/>
              </w:rPr>
              <w:t>.</w:t>
            </w:r>
          </w:p>
          <w:p w:rsidR="00CD584F" w:rsidRDefault="00CD584F" w:rsidP="00BE7295">
            <w:pPr>
              <w:rPr>
                <w:szCs w:val="22"/>
              </w:rPr>
            </w:pPr>
          </w:p>
        </w:tc>
        <w:tc>
          <w:tcPr>
            <w:tcW w:w="1394" w:type="pct"/>
            <w:shd w:val="clear" w:color="auto" w:fill="C5E0B3" w:themeFill="accent6" w:themeFillTint="66"/>
          </w:tcPr>
          <w:p w:rsidR="00CD584F" w:rsidRDefault="00CD584F" w:rsidP="00BE7295">
            <w:pPr>
              <w:rPr>
                <w:szCs w:val="22"/>
              </w:rPr>
            </w:pPr>
            <w:r w:rsidRPr="001B487E">
              <w:rPr>
                <w:szCs w:val="22"/>
              </w:rPr>
              <w:t xml:space="preserve">MVDC may agree to flexible retirement but each case will be considered on its merits.  </w:t>
            </w:r>
          </w:p>
          <w:p w:rsidR="00CD584F" w:rsidRDefault="00CD584F" w:rsidP="00BE7295">
            <w:pPr>
              <w:rPr>
                <w:szCs w:val="22"/>
              </w:rPr>
            </w:pPr>
          </w:p>
          <w:p w:rsidR="00CD584F" w:rsidRDefault="00CD584F" w:rsidP="00BE7295">
            <w:pPr>
              <w:rPr>
                <w:szCs w:val="22"/>
              </w:rPr>
            </w:pPr>
            <w:r w:rsidRPr="001B487E">
              <w:rPr>
                <w:szCs w:val="22"/>
              </w:rPr>
              <w:t xml:space="preserve">MVDC will </w:t>
            </w:r>
            <w:r>
              <w:rPr>
                <w:szCs w:val="22"/>
              </w:rPr>
              <w:t>only</w:t>
            </w:r>
            <w:r w:rsidRPr="001B487E">
              <w:rPr>
                <w:szCs w:val="22"/>
              </w:rPr>
              <w:t xml:space="preserve"> waive actuarial reduction </w:t>
            </w:r>
            <w:r>
              <w:rPr>
                <w:szCs w:val="22"/>
              </w:rPr>
              <w:t>in exceptional circumstances.</w:t>
            </w:r>
          </w:p>
          <w:p w:rsidR="00CD584F" w:rsidRDefault="00CD584F" w:rsidP="00BE7295">
            <w:pPr>
              <w:rPr>
                <w:szCs w:val="22"/>
              </w:rPr>
            </w:pPr>
          </w:p>
          <w:p w:rsidR="00CD584F" w:rsidRPr="001B487E" w:rsidRDefault="00CD584F" w:rsidP="00BE7295">
            <w:pPr>
              <w:rPr>
                <w:szCs w:val="22"/>
              </w:rPr>
            </w:pPr>
            <w:r w:rsidRPr="001B487E">
              <w:rPr>
                <w:szCs w:val="22"/>
              </w:rPr>
              <w:t>MVDC’s Early Retirement policy gives more guidance on how such discretion may be exercised.</w:t>
            </w:r>
          </w:p>
        </w:tc>
      </w:tr>
      <w:tr w:rsidR="00CD584F" w:rsidTr="00BE7295">
        <w:tc>
          <w:tcPr>
            <w:tcW w:w="222" w:type="pct"/>
            <w:shd w:val="clear" w:color="auto" w:fill="auto"/>
          </w:tcPr>
          <w:p w:rsidR="00CD584F" w:rsidRDefault="00CD584F" w:rsidP="00BE7295">
            <w:pPr>
              <w:rPr>
                <w:b/>
                <w:szCs w:val="22"/>
              </w:rPr>
            </w:pPr>
            <w:r>
              <w:rPr>
                <w:b/>
                <w:szCs w:val="22"/>
              </w:rPr>
              <w:t>7.</w:t>
            </w:r>
          </w:p>
        </w:tc>
        <w:tc>
          <w:tcPr>
            <w:tcW w:w="690" w:type="pct"/>
            <w:shd w:val="clear" w:color="auto" w:fill="auto"/>
          </w:tcPr>
          <w:p w:rsidR="00CD584F" w:rsidRPr="00EE6454" w:rsidRDefault="00CD584F" w:rsidP="00BE7295">
            <w:pPr>
              <w:rPr>
                <w:b/>
                <w:szCs w:val="22"/>
              </w:rPr>
            </w:pPr>
            <w:r>
              <w:rPr>
                <w:b/>
                <w:szCs w:val="22"/>
              </w:rPr>
              <w:t xml:space="preserve">Switching-on the 85-year rule </w:t>
            </w:r>
          </w:p>
        </w:tc>
        <w:tc>
          <w:tcPr>
            <w:tcW w:w="507" w:type="pct"/>
            <w:shd w:val="clear" w:color="auto" w:fill="auto"/>
          </w:tcPr>
          <w:p w:rsidR="00CD584F" w:rsidRDefault="00CD584F" w:rsidP="00BE7295">
            <w:pPr>
              <w:rPr>
                <w:rFonts w:cs="Arial"/>
                <w:szCs w:val="22"/>
              </w:rPr>
            </w:pPr>
            <w:r>
              <w:rPr>
                <w:rFonts w:cs="Arial"/>
                <w:szCs w:val="22"/>
              </w:rPr>
              <w:t>Schedule 2 of Transitional</w:t>
            </w:r>
          </w:p>
          <w:p w:rsidR="00CD584F" w:rsidRDefault="00CD584F" w:rsidP="00BE7295">
            <w:pPr>
              <w:rPr>
                <w:szCs w:val="22"/>
              </w:rPr>
            </w:pPr>
            <w:r>
              <w:rPr>
                <w:rFonts w:cs="Arial"/>
                <w:szCs w:val="22"/>
              </w:rPr>
              <w:t>Regulations</w:t>
            </w:r>
          </w:p>
        </w:tc>
        <w:tc>
          <w:tcPr>
            <w:tcW w:w="948" w:type="pct"/>
            <w:shd w:val="clear" w:color="auto" w:fill="auto"/>
          </w:tcPr>
          <w:p w:rsidR="00CD584F" w:rsidRDefault="00CD584F" w:rsidP="00BE7295">
            <w:pPr>
              <w:rPr>
                <w:szCs w:val="22"/>
              </w:rPr>
            </w:pPr>
            <w:r>
              <w:t>Whether to switch on the 85-year rule under Regulation 1(2) and 1(3) of Schedule 2 of the Transitional Regulations.</w:t>
            </w:r>
          </w:p>
        </w:tc>
        <w:tc>
          <w:tcPr>
            <w:tcW w:w="1239" w:type="pct"/>
            <w:shd w:val="clear" w:color="auto" w:fill="auto"/>
          </w:tcPr>
          <w:p w:rsidR="00CD584F" w:rsidRDefault="00CD584F" w:rsidP="00BE7295">
            <w:pPr>
              <w:rPr>
                <w:szCs w:val="22"/>
              </w:rPr>
            </w:pPr>
            <w:r>
              <w:rPr>
                <w:szCs w:val="22"/>
              </w:rPr>
              <w:t>The employer can agree to switch on the 85-year rule, which may mitigate reductions that would, otherwise, apply but the employer may have to make a capital payment.</w:t>
            </w:r>
          </w:p>
        </w:tc>
        <w:tc>
          <w:tcPr>
            <w:tcW w:w="1394" w:type="pct"/>
            <w:shd w:val="clear" w:color="auto" w:fill="auto"/>
          </w:tcPr>
          <w:p w:rsidR="00CD584F" w:rsidRDefault="00CD584F" w:rsidP="00BE7295">
            <w:pPr>
              <w:rPr>
                <w:szCs w:val="22"/>
              </w:rPr>
            </w:pPr>
            <w:r>
              <w:rPr>
                <w:szCs w:val="22"/>
              </w:rPr>
              <w:t xml:space="preserve">MVDC will only switch on the 85-year rule in exceptional circumstances </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8.</w:t>
            </w:r>
          </w:p>
        </w:tc>
        <w:tc>
          <w:tcPr>
            <w:tcW w:w="690" w:type="pct"/>
            <w:shd w:val="clear" w:color="auto" w:fill="C5E0B3" w:themeFill="accent6" w:themeFillTint="66"/>
          </w:tcPr>
          <w:p w:rsidR="00CD584F" w:rsidRDefault="00CD584F" w:rsidP="00BE7295">
            <w:pPr>
              <w:rPr>
                <w:b/>
                <w:szCs w:val="22"/>
              </w:rPr>
            </w:pPr>
            <w:r w:rsidRPr="00EE6454">
              <w:rPr>
                <w:b/>
                <w:szCs w:val="22"/>
              </w:rPr>
              <w:t>Waiving of Actuarial Reduction to Pensions</w:t>
            </w:r>
          </w:p>
        </w:tc>
        <w:tc>
          <w:tcPr>
            <w:tcW w:w="507" w:type="pct"/>
            <w:shd w:val="clear" w:color="auto" w:fill="C5E0B3" w:themeFill="accent6" w:themeFillTint="66"/>
          </w:tcPr>
          <w:p w:rsidR="00CD584F" w:rsidRDefault="00CD584F" w:rsidP="00BE7295">
            <w:pPr>
              <w:rPr>
                <w:szCs w:val="22"/>
              </w:rPr>
            </w:pPr>
            <w:r w:rsidRPr="00EE6454">
              <w:rPr>
                <w:szCs w:val="22"/>
              </w:rPr>
              <w:t>Regulation 30(8), Pensions Regulations</w:t>
            </w:r>
          </w:p>
          <w:p w:rsidR="00CD584F" w:rsidRDefault="00CD584F" w:rsidP="00BE7295">
            <w:pPr>
              <w:rPr>
                <w:szCs w:val="22"/>
              </w:rPr>
            </w:pPr>
          </w:p>
          <w:p w:rsidR="00CD584F" w:rsidRDefault="00CD584F" w:rsidP="00BE7295">
            <w:pPr>
              <w:rPr>
                <w:szCs w:val="22"/>
              </w:rPr>
            </w:pPr>
            <w:r>
              <w:rPr>
                <w:rFonts w:cs="Arial"/>
                <w:szCs w:val="22"/>
              </w:rPr>
              <w:t>Schedule 2 of Transitional Regulations</w:t>
            </w:r>
          </w:p>
        </w:tc>
        <w:tc>
          <w:tcPr>
            <w:tcW w:w="948" w:type="pct"/>
            <w:shd w:val="clear" w:color="auto" w:fill="C5E0B3" w:themeFill="accent6" w:themeFillTint="66"/>
          </w:tcPr>
          <w:p w:rsidR="00CD584F" w:rsidRDefault="00CD584F" w:rsidP="00BE7295">
            <w:pPr>
              <w:rPr>
                <w:szCs w:val="22"/>
              </w:rPr>
            </w:pPr>
            <w:r>
              <w:rPr>
                <w:szCs w:val="22"/>
              </w:rPr>
              <w:t xml:space="preserve">(Post 2014) </w:t>
            </w:r>
            <w:r w:rsidRPr="00EE6454">
              <w:rPr>
                <w:szCs w:val="22"/>
              </w:rPr>
              <w:t>Whether to agree to waive, in whole or in part, any actuarial reduction that would otherwise apply to the pension paid o a former employee aged 55 or over under 30(5)</w:t>
            </w:r>
            <w:r>
              <w:rPr>
                <w:szCs w:val="22"/>
              </w:rPr>
              <w:t xml:space="preserve"> </w:t>
            </w:r>
            <w:r w:rsidRPr="00EE6454">
              <w:rPr>
                <w:szCs w:val="22"/>
              </w:rPr>
              <w:t xml:space="preserve">or </w:t>
            </w:r>
            <w:r>
              <w:rPr>
                <w:szCs w:val="22"/>
              </w:rPr>
              <w:t>30(6) [</w:t>
            </w:r>
            <w:r w:rsidRPr="00EE6454">
              <w:rPr>
                <w:szCs w:val="22"/>
              </w:rPr>
              <w:t>flexible retirement</w:t>
            </w:r>
            <w:r>
              <w:rPr>
                <w:szCs w:val="22"/>
              </w:rPr>
              <w:t>]</w:t>
            </w:r>
            <w:r w:rsidRPr="00EE6454">
              <w:rPr>
                <w:szCs w:val="22"/>
              </w:rPr>
              <w:t xml:space="preserve"> u</w:t>
            </w:r>
            <w:r>
              <w:rPr>
                <w:szCs w:val="22"/>
              </w:rPr>
              <w:t>sing</w:t>
            </w:r>
            <w:r w:rsidRPr="00EE6454">
              <w:rPr>
                <w:szCs w:val="22"/>
              </w:rPr>
              <w:t xml:space="preserve"> regulation 30(8) of the </w:t>
            </w:r>
            <w:r>
              <w:rPr>
                <w:szCs w:val="22"/>
              </w:rPr>
              <w:t>Pension Regulations.</w:t>
            </w:r>
          </w:p>
          <w:p w:rsidR="00CD584F" w:rsidRDefault="00CD584F" w:rsidP="00BE7295">
            <w:pPr>
              <w:rPr>
                <w:szCs w:val="22"/>
              </w:rPr>
            </w:pPr>
          </w:p>
          <w:p w:rsidR="00CD584F" w:rsidRDefault="00CD584F" w:rsidP="00BE7295">
            <w:pPr>
              <w:rPr>
                <w:szCs w:val="22"/>
              </w:rPr>
            </w:pPr>
            <w:r>
              <w:rPr>
                <w:szCs w:val="22"/>
              </w:rPr>
              <w:t>(Pre-2014)</w:t>
            </w:r>
            <w:r w:rsidRPr="00EE6454">
              <w:rPr>
                <w:szCs w:val="22"/>
              </w:rPr>
              <w:t xml:space="preserve"> </w:t>
            </w:r>
            <w:r>
              <w:t xml:space="preserve"> Whether to waive actuarial reductions entirely under 30(5) or 30A(5) [deferred pensioner members] of the Benefits Regulations and   Regulation 2(1),  of Schedule 2 of the Transitional Regulations.</w:t>
            </w:r>
          </w:p>
        </w:tc>
        <w:tc>
          <w:tcPr>
            <w:tcW w:w="1239" w:type="pct"/>
            <w:shd w:val="clear" w:color="auto" w:fill="C5E0B3" w:themeFill="accent6" w:themeFillTint="66"/>
          </w:tcPr>
          <w:p w:rsidR="00CD584F" w:rsidRDefault="00CD584F" w:rsidP="00BE7295">
            <w:pPr>
              <w:rPr>
                <w:szCs w:val="22"/>
              </w:rPr>
            </w:pPr>
            <w:r w:rsidRPr="00EE6454">
              <w:rPr>
                <w:szCs w:val="22"/>
              </w:rPr>
              <w:t xml:space="preserve">The employing authority can agree to waive reductions to </w:t>
            </w:r>
            <w:r>
              <w:rPr>
                <w:szCs w:val="22"/>
              </w:rPr>
              <w:t xml:space="preserve">the pension of a member aged 55 or over who has </w:t>
            </w:r>
            <w:r w:rsidRPr="00EE6454">
              <w:rPr>
                <w:szCs w:val="22"/>
              </w:rPr>
              <w:t xml:space="preserve">left employment </w:t>
            </w:r>
            <w:r>
              <w:rPr>
                <w:szCs w:val="22"/>
              </w:rPr>
              <w:t>or been</w:t>
            </w:r>
            <w:r w:rsidRPr="00EE6454">
              <w:rPr>
                <w:szCs w:val="22"/>
              </w:rPr>
              <w:t xml:space="preserve"> granted flexible retirement</w:t>
            </w:r>
            <w:r>
              <w:rPr>
                <w:szCs w:val="22"/>
              </w:rPr>
              <w:t>.</w:t>
            </w:r>
            <w:r w:rsidRPr="00EE6454">
              <w:rPr>
                <w:szCs w:val="22"/>
              </w:rPr>
              <w:t xml:space="preserve"> </w:t>
            </w:r>
          </w:p>
          <w:p w:rsidR="00CD584F" w:rsidRDefault="00CD584F" w:rsidP="00BE7295">
            <w:pPr>
              <w:rPr>
                <w:szCs w:val="22"/>
              </w:rPr>
            </w:pPr>
          </w:p>
          <w:p w:rsidR="00CD584F" w:rsidRDefault="00CD584F" w:rsidP="00BE7295">
            <w:pPr>
              <w:rPr>
                <w:szCs w:val="22"/>
              </w:rPr>
            </w:pPr>
            <w:r>
              <w:rPr>
                <w:szCs w:val="22"/>
              </w:rPr>
              <w:t>The employer may be required to make a capital payment if they do so.</w:t>
            </w:r>
          </w:p>
        </w:tc>
        <w:tc>
          <w:tcPr>
            <w:tcW w:w="1394" w:type="pct"/>
            <w:shd w:val="clear" w:color="auto" w:fill="C5E0B3" w:themeFill="accent6" w:themeFillTint="66"/>
          </w:tcPr>
          <w:p w:rsidR="00CD584F" w:rsidRDefault="00CD584F" w:rsidP="00BE7295">
            <w:pPr>
              <w:rPr>
                <w:szCs w:val="22"/>
              </w:rPr>
            </w:pPr>
            <w:r w:rsidRPr="001B487E">
              <w:rPr>
                <w:szCs w:val="22"/>
              </w:rPr>
              <w:t xml:space="preserve">MVDC will </w:t>
            </w:r>
            <w:r>
              <w:rPr>
                <w:szCs w:val="22"/>
              </w:rPr>
              <w:t>only</w:t>
            </w:r>
            <w:r w:rsidRPr="001B487E">
              <w:rPr>
                <w:szCs w:val="22"/>
              </w:rPr>
              <w:t xml:space="preserve"> waive actuarial reduction </w:t>
            </w:r>
            <w:r>
              <w:rPr>
                <w:szCs w:val="22"/>
              </w:rPr>
              <w:t>in exceptional circumstances.</w:t>
            </w:r>
          </w:p>
          <w:p w:rsidR="00CD584F" w:rsidRDefault="00CD584F" w:rsidP="00BE7295">
            <w:pPr>
              <w:rPr>
                <w:szCs w:val="22"/>
              </w:rPr>
            </w:pPr>
          </w:p>
          <w:p w:rsidR="00CD584F" w:rsidRDefault="00CD584F" w:rsidP="00BE7295">
            <w:pPr>
              <w:rPr>
                <w:szCs w:val="22"/>
              </w:rPr>
            </w:pPr>
            <w:r>
              <w:rPr>
                <w:szCs w:val="22"/>
              </w:rPr>
              <w:t>MVDC’s Early Retirement policy gives more guidance on how such discretion may be exercised.</w:t>
            </w:r>
          </w:p>
        </w:tc>
      </w:tr>
      <w:tr w:rsidR="00CD584F" w:rsidTr="00BE7295">
        <w:tc>
          <w:tcPr>
            <w:tcW w:w="222" w:type="pct"/>
            <w:shd w:val="clear" w:color="auto" w:fill="9CC2E5" w:themeFill="accent1" w:themeFillTint="99"/>
          </w:tcPr>
          <w:p w:rsidR="00CD584F" w:rsidRDefault="00CD584F" w:rsidP="00BE7295">
            <w:pPr>
              <w:rPr>
                <w:b/>
                <w:szCs w:val="22"/>
              </w:rPr>
            </w:pPr>
            <w:r>
              <w:rPr>
                <w:b/>
                <w:szCs w:val="22"/>
              </w:rPr>
              <w:t>9</w:t>
            </w:r>
          </w:p>
        </w:tc>
        <w:tc>
          <w:tcPr>
            <w:tcW w:w="690" w:type="pct"/>
            <w:shd w:val="clear" w:color="auto" w:fill="9CC2E5" w:themeFill="accent1" w:themeFillTint="99"/>
          </w:tcPr>
          <w:p w:rsidR="00CD584F" w:rsidRDefault="00CD584F" w:rsidP="00BE7295">
            <w:pPr>
              <w:rPr>
                <w:b/>
                <w:szCs w:val="22"/>
              </w:rPr>
            </w:pPr>
            <w:r w:rsidRPr="00EE6454">
              <w:rPr>
                <w:b/>
                <w:szCs w:val="22"/>
              </w:rPr>
              <w:t>Award of Additional Pension</w:t>
            </w:r>
          </w:p>
        </w:tc>
        <w:tc>
          <w:tcPr>
            <w:tcW w:w="507" w:type="pct"/>
            <w:shd w:val="clear" w:color="auto" w:fill="9CC2E5" w:themeFill="accent1" w:themeFillTint="99"/>
          </w:tcPr>
          <w:p w:rsidR="00CD584F" w:rsidRDefault="00CD584F" w:rsidP="00BE7295">
            <w:pPr>
              <w:rPr>
                <w:szCs w:val="22"/>
              </w:rPr>
            </w:pPr>
            <w:r w:rsidRPr="00EE6454">
              <w:rPr>
                <w:szCs w:val="22"/>
              </w:rPr>
              <w:t>Regulation 31, Pensions Regulations</w:t>
            </w:r>
          </w:p>
        </w:tc>
        <w:tc>
          <w:tcPr>
            <w:tcW w:w="948" w:type="pct"/>
            <w:shd w:val="clear" w:color="auto" w:fill="9CC2E5" w:themeFill="accent1" w:themeFillTint="99"/>
          </w:tcPr>
          <w:p w:rsidR="00CD584F" w:rsidRPr="00EE6454" w:rsidRDefault="00CD584F" w:rsidP="00BE7295">
            <w:pPr>
              <w:rPr>
                <w:szCs w:val="22"/>
              </w:rPr>
            </w:pPr>
            <w:r w:rsidRPr="00EE6454">
              <w:rPr>
                <w:szCs w:val="22"/>
              </w:rPr>
              <w:t>To award additional pension at full cost to the employer:</w:t>
            </w:r>
          </w:p>
          <w:p w:rsidR="00CD584F" w:rsidRPr="00EE6454" w:rsidRDefault="00CD584F" w:rsidP="00BE7295">
            <w:pPr>
              <w:rPr>
                <w:szCs w:val="22"/>
              </w:rPr>
            </w:pPr>
          </w:p>
          <w:p w:rsidR="00CD584F" w:rsidRPr="00EE6454" w:rsidRDefault="00CD584F" w:rsidP="00CD584F">
            <w:pPr>
              <w:numPr>
                <w:ilvl w:val="0"/>
                <w:numId w:val="4"/>
              </w:numPr>
              <w:rPr>
                <w:szCs w:val="22"/>
              </w:rPr>
            </w:pPr>
            <w:r w:rsidRPr="00EE6454">
              <w:rPr>
                <w:szCs w:val="22"/>
              </w:rPr>
              <w:t>an active member; or</w:t>
            </w:r>
          </w:p>
          <w:p w:rsidR="00CD584F" w:rsidRPr="00EE6454" w:rsidRDefault="00CD584F" w:rsidP="00BE7295">
            <w:pPr>
              <w:ind w:left="720"/>
              <w:rPr>
                <w:szCs w:val="22"/>
              </w:rPr>
            </w:pPr>
          </w:p>
          <w:p w:rsidR="00CD584F" w:rsidRPr="00EE6454" w:rsidRDefault="00CD584F" w:rsidP="00CD584F">
            <w:pPr>
              <w:numPr>
                <w:ilvl w:val="0"/>
                <w:numId w:val="4"/>
              </w:numPr>
              <w:rPr>
                <w:szCs w:val="22"/>
              </w:rPr>
            </w:pPr>
            <w:r w:rsidRPr="00EE6454">
              <w:rPr>
                <w:szCs w:val="22"/>
              </w:rPr>
              <w:t>a former active member who was dismissed by reason of redundancy</w:t>
            </w:r>
            <w:r>
              <w:rPr>
                <w:szCs w:val="22"/>
              </w:rPr>
              <w:t>, business efficiency or mutual consent on grounds of business efficiency.</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 xml:space="preserve">Any additional pension awarded (including any additional pension purchased by the employer </w:t>
            </w:r>
            <w:r>
              <w:rPr>
                <w:szCs w:val="22"/>
              </w:rPr>
              <w:t xml:space="preserve">or the member </w:t>
            </w:r>
            <w:r w:rsidRPr="00EE6454">
              <w:rPr>
                <w:szCs w:val="22"/>
              </w:rPr>
              <w:t>under Regulation 16 of the Pensions Regulations</w:t>
            </w:r>
            <w:r>
              <w:rPr>
                <w:szCs w:val="22"/>
              </w:rPr>
              <w:t>)</w:t>
            </w:r>
            <w:r w:rsidRPr="00EE6454">
              <w:rPr>
                <w:szCs w:val="22"/>
              </w:rPr>
              <w:t xml:space="preserve"> may not exceed the </w:t>
            </w:r>
            <w:r>
              <w:rPr>
                <w:szCs w:val="22"/>
              </w:rPr>
              <w:t>overall</w:t>
            </w:r>
            <w:r w:rsidRPr="00EE6454">
              <w:rPr>
                <w:szCs w:val="22"/>
              </w:rPr>
              <w:t xml:space="preserve"> additional pension limit of</w:t>
            </w:r>
            <w:r>
              <w:rPr>
                <w:szCs w:val="22"/>
              </w:rPr>
              <w:t xml:space="preserve"> </w:t>
            </w:r>
            <w:r w:rsidRPr="00EE6454">
              <w:rPr>
                <w:szCs w:val="22"/>
              </w:rPr>
              <w:t>£</w:t>
            </w:r>
            <w:r>
              <w:rPr>
                <w:szCs w:val="22"/>
              </w:rPr>
              <w:t>7,026.00</w:t>
            </w:r>
            <w:r w:rsidRPr="00EE6454">
              <w:rPr>
                <w:szCs w:val="22"/>
              </w:rPr>
              <w:t xml:space="preserve"> (</w:t>
            </w:r>
            <w:r>
              <w:rPr>
                <w:szCs w:val="22"/>
              </w:rPr>
              <w:t>6</w:t>
            </w:r>
            <w:r w:rsidRPr="00DD6B96">
              <w:rPr>
                <w:szCs w:val="22"/>
                <w:vertAlign w:val="superscript"/>
              </w:rPr>
              <w:t>th</w:t>
            </w:r>
            <w:r>
              <w:rPr>
                <w:szCs w:val="22"/>
              </w:rPr>
              <w:t xml:space="preserve"> </w:t>
            </w:r>
            <w:r w:rsidRPr="00EE6454">
              <w:rPr>
                <w:szCs w:val="22"/>
              </w:rPr>
              <w:t>April 201</w:t>
            </w:r>
            <w:r>
              <w:rPr>
                <w:szCs w:val="22"/>
              </w:rPr>
              <w:t>9</w:t>
            </w:r>
            <w:r w:rsidRPr="00EE6454">
              <w:rPr>
                <w:szCs w:val="22"/>
              </w:rPr>
              <w:t xml:space="preserve"> and uplifted annually).</w:t>
            </w:r>
          </w:p>
          <w:p w:rsidR="00CD584F" w:rsidRPr="00EE6454" w:rsidRDefault="00CD584F" w:rsidP="00BE7295">
            <w:pPr>
              <w:rPr>
                <w:szCs w:val="22"/>
              </w:rPr>
            </w:pPr>
          </w:p>
          <w:p w:rsidR="00CD584F" w:rsidRDefault="00CD584F" w:rsidP="00BE7295">
            <w:pPr>
              <w:rPr>
                <w:szCs w:val="22"/>
              </w:rPr>
            </w:pPr>
            <w:r w:rsidRPr="00EE6454">
              <w:rPr>
                <w:szCs w:val="22"/>
              </w:rPr>
              <w:t>Additionally, in the case of a member falling within (2) above, the resolution to award additional pension must be made within 6 months from the date on which the employment ended.</w:t>
            </w:r>
          </w:p>
          <w:p w:rsidR="00A44EC2" w:rsidRDefault="00A44EC2" w:rsidP="00BE7295">
            <w:pPr>
              <w:rPr>
                <w:szCs w:val="22"/>
              </w:rPr>
            </w:pPr>
          </w:p>
          <w:p w:rsidR="00A44EC2" w:rsidRPr="00EE6454" w:rsidRDefault="00A44EC2" w:rsidP="00BE7295">
            <w:pPr>
              <w:rPr>
                <w:szCs w:val="22"/>
              </w:rPr>
            </w:pPr>
          </w:p>
          <w:p w:rsidR="00CD584F" w:rsidRPr="00EE6454" w:rsidRDefault="00CD584F" w:rsidP="00BE7295">
            <w:pPr>
              <w:rPr>
                <w:szCs w:val="22"/>
              </w:rPr>
            </w:pPr>
          </w:p>
        </w:tc>
        <w:tc>
          <w:tcPr>
            <w:tcW w:w="1239" w:type="pct"/>
            <w:shd w:val="clear" w:color="auto" w:fill="9CC2E5" w:themeFill="accent1" w:themeFillTint="99"/>
          </w:tcPr>
          <w:p w:rsidR="00CD584F" w:rsidRDefault="00CD584F" w:rsidP="00BE7295">
            <w:pPr>
              <w:rPr>
                <w:szCs w:val="22"/>
              </w:rPr>
            </w:pPr>
            <w:r w:rsidRPr="00EE6454">
              <w:rPr>
                <w:szCs w:val="22"/>
              </w:rPr>
              <w:t xml:space="preserve">This means the employing authority has the power to award additional pension </w:t>
            </w:r>
            <w:r>
              <w:rPr>
                <w:szCs w:val="22"/>
              </w:rPr>
              <w:t xml:space="preserve">to an active member. </w:t>
            </w:r>
          </w:p>
          <w:p w:rsidR="00CD584F" w:rsidRDefault="00CD584F" w:rsidP="00BE7295">
            <w:pPr>
              <w:rPr>
                <w:szCs w:val="22"/>
              </w:rPr>
            </w:pPr>
          </w:p>
          <w:p w:rsidR="00CD584F" w:rsidRPr="00EE6454" w:rsidRDefault="00CD584F" w:rsidP="00BE7295">
            <w:pPr>
              <w:rPr>
                <w:szCs w:val="22"/>
              </w:rPr>
            </w:pPr>
            <w:r>
              <w:rPr>
                <w:szCs w:val="22"/>
              </w:rPr>
              <w:t xml:space="preserve">The employer can also award additional pension to members who leave on the grounds of </w:t>
            </w:r>
            <w:r w:rsidRPr="00EE6454">
              <w:rPr>
                <w:szCs w:val="22"/>
              </w:rPr>
              <w:t>redundancy, business efficiency or mutual consent on grounds of business efficiency – up to six months after termination.</w:t>
            </w:r>
          </w:p>
          <w:p w:rsidR="00CD584F" w:rsidRPr="00EE6454" w:rsidRDefault="00CD584F" w:rsidP="00BE7295">
            <w:pPr>
              <w:rPr>
                <w:szCs w:val="22"/>
              </w:rPr>
            </w:pPr>
          </w:p>
          <w:p w:rsidR="00CD584F" w:rsidRPr="00EE6454" w:rsidRDefault="00CD584F" w:rsidP="00BE7295">
            <w:pPr>
              <w:rPr>
                <w:szCs w:val="22"/>
              </w:rPr>
            </w:pPr>
            <w:r>
              <w:rPr>
                <w:szCs w:val="22"/>
              </w:rPr>
              <w:t>The employer would</w:t>
            </w:r>
            <w:r w:rsidRPr="00EE6454">
              <w:rPr>
                <w:szCs w:val="22"/>
              </w:rPr>
              <w:t xml:space="preserve"> be </w:t>
            </w:r>
            <w:r>
              <w:rPr>
                <w:szCs w:val="22"/>
              </w:rPr>
              <w:t>required to make a capital payment</w:t>
            </w:r>
            <w:r w:rsidRPr="00EE6454">
              <w:rPr>
                <w:szCs w:val="22"/>
              </w:rPr>
              <w:t xml:space="preserve"> </w:t>
            </w:r>
            <w:r>
              <w:rPr>
                <w:szCs w:val="22"/>
              </w:rPr>
              <w:t xml:space="preserve">(in addition to the cost of purchase) </w:t>
            </w:r>
            <w:r w:rsidRPr="00EE6454">
              <w:rPr>
                <w:szCs w:val="22"/>
              </w:rPr>
              <w:t>if the member retire</w:t>
            </w:r>
            <w:r>
              <w:rPr>
                <w:szCs w:val="22"/>
              </w:rPr>
              <w:t>d</w:t>
            </w:r>
            <w:r w:rsidRPr="00EE6454">
              <w:rPr>
                <w:szCs w:val="22"/>
              </w:rPr>
              <w:t xml:space="preserve"> early on any grounds apart from permanent ill-health</w:t>
            </w:r>
            <w:r>
              <w:rPr>
                <w:szCs w:val="22"/>
              </w:rPr>
              <w:t>.</w:t>
            </w:r>
          </w:p>
        </w:tc>
        <w:tc>
          <w:tcPr>
            <w:tcW w:w="1394" w:type="pct"/>
            <w:shd w:val="clear" w:color="auto" w:fill="9CC2E5" w:themeFill="accent1" w:themeFillTint="99"/>
          </w:tcPr>
          <w:p w:rsidR="00CD584F" w:rsidRDefault="00CD584F" w:rsidP="00BE7295">
            <w:pPr>
              <w:rPr>
                <w:szCs w:val="22"/>
              </w:rPr>
            </w:pPr>
            <w:r>
              <w:rPr>
                <w:szCs w:val="22"/>
              </w:rPr>
              <w:t>MVDC will only award additional pension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10</w:t>
            </w:r>
          </w:p>
        </w:tc>
        <w:tc>
          <w:tcPr>
            <w:tcW w:w="690" w:type="pct"/>
            <w:shd w:val="clear" w:color="auto" w:fill="BFBFBF" w:themeFill="background1" w:themeFillShade="BF"/>
          </w:tcPr>
          <w:p w:rsidR="00CD584F" w:rsidRDefault="00CD584F" w:rsidP="00BE7295">
            <w:pPr>
              <w:rPr>
                <w:b/>
                <w:szCs w:val="22"/>
              </w:rPr>
            </w:pPr>
            <w:r w:rsidRPr="00EE6454">
              <w:rPr>
                <w:rFonts w:cs="Arial"/>
                <w:b/>
                <w:szCs w:val="22"/>
              </w:rPr>
              <w:t>Aggregation of Benefits: Concurrent Employments</w:t>
            </w:r>
          </w:p>
        </w:tc>
        <w:tc>
          <w:tcPr>
            <w:tcW w:w="507" w:type="pct"/>
            <w:shd w:val="clear" w:color="auto" w:fill="BFBFBF" w:themeFill="background1" w:themeFillShade="BF"/>
          </w:tcPr>
          <w:p w:rsidR="00CD584F" w:rsidRDefault="00CD584F" w:rsidP="00BE7295">
            <w:pPr>
              <w:rPr>
                <w:szCs w:val="22"/>
              </w:rPr>
            </w:pPr>
            <w:r w:rsidRPr="00EE6454">
              <w:rPr>
                <w:rFonts w:cs="Arial"/>
                <w:szCs w:val="22"/>
              </w:rPr>
              <w:t>Regulation 22 (7)(b), Pensions Regulations</w:t>
            </w:r>
          </w:p>
        </w:tc>
        <w:tc>
          <w:tcPr>
            <w:tcW w:w="948" w:type="pct"/>
            <w:shd w:val="clear" w:color="auto" w:fill="BFBFBF" w:themeFill="background1" w:themeFillShade="BF"/>
          </w:tcPr>
          <w:p w:rsidR="00CD584F" w:rsidRPr="00EE6454" w:rsidRDefault="00CD584F" w:rsidP="00BE7295">
            <w:pPr>
              <w:rPr>
                <w:rFonts w:cs="Arial"/>
                <w:szCs w:val="22"/>
              </w:rPr>
            </w:pPr>
            <w:r>
              <w:rPr>
                <w:rFonts w:cs="Arial"/>
                <w:szCs w:val="22"/>
              </w:rPr>
              <w:t xml:space="preserve">Whether </w:t>
            </w:r>
            <w:r w:rsidRPr="00EE6454">
              <w:rPr>
                <w:rFonts w:cs="Arial"/>
                <w:szCs w:val="22"/>
              </w:rPr>
              <w:t xml:space="preserve">to allow an active member with concurrent employments, who ceases an employment with an entitlement to a deferred pension, more than 12 months to elect </w:t>
            </w:r>
            <w:r w:rsidRPr="00EE6454">
              <w:rPr>
                <w:rFonts w:cs="Arial"/>
                <w:b/>
                <w:szCs w:val="22"/>
              </w:rPr>
              <w:t>not</w:t>
            </w:r>
            <w:r w:rsidRPr="00EE6454">
              <w:rPr>
                <w:rFonts w:cs="Arial"/>
                <w:szCs w:val="22"/>
              </w:rPr>
              <w:t xml:space="preserve"> to have their deferred pension aggregated with their active member’s pension account.  </w:t>
            </w:r>
          </w:p>
          <w:p w:rsidR="00CD584F" w:rsidRPr="00EE6454" w:rsidRDefault="00CD584F" w:rsidP="00BE7295">
            <w:pPr>
              <w:rPr>
                <w:rFonts w:cs="Arial"/>
                <w:szCs w:val="22"/>
              </w:rPr>
            </w:pPr>
          </w:p>
        </w:tc>
        <w:tc>
          <w:tcPr>
            <w:tcW w:w="1239" w:type="pct"/>
            <w:shd w:val="clear" w:color="auto" w:fill="BFBFBF" w:themeFill="background1" w:themeFillShade="BF"/>
          </w:tcPr>
          <w:p w:rsidR="00CD584F" w:rsidRDefault="00CD584F" w:rsidP="00BE7295">
            <w:pPr>
              <w:rPr>
                <w:rFonts w:cs="Arial"/>
                <w:szCs w:val="22"/>
              </w:rPr>
            </w:pPr>
            <w:r w:rsidRPr="00EE6454">
              <w:rPr>
                <w:rFonts w:cs="Arial"/>
                <w:szCs w:val="22"/>
              </w:rPr>
              <w:t xml:space="preserve">The </w:t>
            </w:r>
            <w:r w:rsidRPr="00EE6454">
              <w:rPr>
                <w:szCs w:val="22"/>
              </w:rPr>
              <w:t xml:space="preserve">employing authority </w:t>
            </w:r>
            <w:r w:rsidRPr="00EE6454">
              <w:rPr>
                <w:rFonts w:cs="Arial"/>
                <w:szCs w:val="22"/>
              </w:rPr>
              <w:t xml:space="preserve">can allow a member who leaves one of two (or more) employments - held at the same time - longer than 12 months to elect </w:t>
            </w:r>
            <w:r w:rsidRPr="00EE6454">
              <w:rPr>
                <w:rFonts w:cs="Arial"/>
                <w:b/>
                <w:szCs w:val="22"/>
              </w:rPr>
              <w:t>not</w:t>
            </w:r>
            <w:r w:rsidRPr="00EE6454">
              <w:rPr>
                <w:rFonts w:cs="Arial"/>
                <w:szCs w:val="22"/>
              </w:rPr>
              <w:t xml:space="preserve"> to combine the deferred pension with the ongoing active pension.  </w:t>
            </w:r>
          </w:p>
          <w:p w:rsidR="00CD584F" w:rsidRDefault="00CD584F" w:rsidP="00BE7295">
            <w:pPr>
              <w:rPr>
                <w:rFonts w:cs="Arial"/>
                <w:szCs w:val="22"/>
              </w:rPr>
            </w:pP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11</w:t>
            </w:r>
          </w:p>
        </w:tc>
        <w:tc>
          <w:tcPr>
            <w:tcW w:w="690" w:type="pct"/>
            <w:shd w:val="clear" w:color="auto" w:fill="BFBFBF" w:themeFill="background1" w:themeFillShade="BF"/>
          </w:tcPr>
          <w:p w:rsidR="00CD584F" w:rsidRPr="000326ED" w:rsidRDefault="00CD584F" w:rsidP="00BE7295">
            <w:pPr>
              <w:rPr>
                <w:rFonts w:cs="Arial"/>
                <w:b/>
                <w:szCs w:val="22"/>
              </w:rPr>
            </w:pPr>
            <w:r w:rsidRPr="00EE6454">
              <w:rPr>
                <w:rFonts w:cs="Arial"/>
                <w:b/>
                <w:szCs w:val="22"/>
              </w:rPr>
              <w:t>Aggregation of Benefits: Deferred Member becoming Active Member</w:t>
            </w:r>
          </w:p>
        </w:tc>
        <w:tc>
          <w:tcPr>
            <w:tcW w:w="507" w:type="pct"/>
            <w:shd w:val="clear" w:color="auto" w:fill="BFBFBF" w:themeFill="background1" w:themeFillShade="BF"/>
          </w:tcPr>
          <w:p w:rsidR="00CD584F" w:rsidRPr="00EE6454" w:rsidRDefault="00CD584F" w:rsidP="00BE7295">
            <w:pPr>
              <w:rPr>
                <w:rFonts w:cs="Arial"/>
                <w:szCs w:val="22"/>
              </w:rPr>
            </w:pPr>
            <w:r w:rsidRPr="00EE6454">
              <w:rPr>
                <w:rFonts w:cs="Arial"/>
                <w:szCs w:val="22"/>
              </w:rPr>
              <w:t>Regulation 22 (8)(b), Pensions Regulations</w:t>
            </w:r>
          </w:p>
          <w:p w:rsidR="00CD584F" w:rsidRPr="00EE6454" w:rsidRDefault="00CD584F" w:rsidP="00BE7295">
            <w:pPr>
              <w:rPr>
                <w:rFonts w:cs="Arial"/>
                <w:szCs w:val="22"/>
              </w:rPr>
            </w:pPr>
          </w:p>
          <w:p w:rsidR="00CD584F" w:rsidRDefault="00CD584F" w:rsidP="00BE7295">
            <w:pPr>
              <w:rPr>
                <w:szCs w:val="22"/>
              </w:rPr>
            </w:pPr>
          </w:p>
        </w:tc>
        <w:tc>
          <w:tcPr>
            <w:tcW w:w="948" w:type="pct"/>
            <w:shd w:val="clear" w:color="auto" w:fill="BFBFBF" w:themeFill="background1" w:themeFillShade="BF"/>
          </w:tcPr>
          <w:p w:rsidR="00CD584F" w:rsidRPr="00EE6454" w:rsidRDefault="00CD584F" w:rsidP="00BE7295">
            <w:pPr>
              <w:rPr>
                <w:rFonts w:cs="Arial"/>
                <w:szCs w:val="22"/>
              </w:rPr>
            </w:pPr>
            <w:r w:rsidRPr="00EE6454">
              <w:rPr>
                <w:rFonts w:cs="Arial"/>
                <w:szCs w:val="22"/>
              </w:rPr>
              <w:t xml:space="preserve">Whether to allow a deferred member who becomes an active member longer than 12 months in which to </w:t>
            </w:r>
            <w:r w:rsidRPr="007B7B1E">
              <w:rPr>
                <w:rFonts w:cs="Arial"/>
                <w:szCs w:val="22"/>
              </w:rPr>
              <w:t xml:space="preserve">elect </w:t>
            </w:r>
            <w:r w:rsidRPr="00E47BE6">
              <w:rPr>
                <w:rFonts w:cs="Arial"/>
                <w:b/>
                <w:szCs w:val="22"/>
              </w:rPr>
              <w:t>not</w:t>
            </w:r>
            <w:r w:rsidRPr="00EE6454">
              <w:rPr>
                <w:rFonts w:cs="Arial"/>
                <w:szCs w:val="22"/>
              </w:rPr>
              <w:t xml:space="preserve"> to have their deferred benefits aggregated with the benefits in their ac</w:t>
            </w:r>
            <w:r>
              <w:rPr>
                <w:rFonts w:cs="Arial"/>
                <w:szCs w:val="22"/>
              </w:rPr>
              <w:t xml:space="preserve">tive member’s pension account. </w:t>
            </w:r>
          </w:p>
          <w:p w:rsidR="00CD584F" w:rsidRDefault="00CD584F" w:rsidP="00BE7295">
            <w:pPr>
              <w:rPr>
                <w:szCs w:val="22"/>
              </w:rPr>
            </w:pPr>
          </w:p>
        </w:tc>
        <w:tc>
          <w:tcPr>
            <w:tcW w:w="1239" w:type="pct"/>
            <w:shd w:val="clear" w:color="auto" w:fill="BFBFBF" w:themeFill="background1" w:themeFillShade="BF"/>
          </w:tcPr>
          <w:p w:rsidR="00CD584F" w:rsidRPr="00EE6454" w:rsidRDefault="00CD584F" w:rsidP="00BE7295">
            <w:pPr>
              <w:rPr>
                <w:rFonts w:cs="Arial"/>
                <w:szCs w:val="22"/>
              </w:rPr>
            </w:pPr>
            <w:r w:rsidRPr="00EE6454">
              <w:rPr>
                <w:rFonts w:cs="Arial"/>
                <w:szCs w:val="22"/>
              </w:rPr>
              <w:t xml:space="preserve">The benefits are usually aggregated (joined-up), </w:t>
            </w:r>
            <w:r w:rsidRPr="00EE6454">
              <w:rPr>
                <w:rFonts w:cs="Arial"/>
                <w:b/>
                <w:szCs w:val="22"/>
              </w:rPr>
              <w:t>unless</w:t>
            </w:r>
            <w:r w:rsidRPr="00EE6454">
              <w:rPr>
                <w:rFonts w:cs="Arial"/>
                <w:szCs w:val="22"/>
              </w:rPr>
              <w:t xml:space="preserve"> the member elects to keep them separate.</w:t>
            </w:r>
          </w:p>
          <w:p w:rsidR="00CD584F" w:rsidRPr="00EE6454" w:rsidRDefault="00CD584F" w:rsidP="00BE7295">
            <w:pPr>
              <w:rPr>
                <w:rFonts w:cs="Arial"/>
                <w:szCs w:val="22"/>
              </w:rPr>
            </w:pPr>
          </w:p>
          <w:p w:rsidR="00CD584F" w:rsidRDefault="00CD584F" w:rsidP="00BE7295">
            <w:pPr>
              <w:rPr>
                <w:rFonts w:cs="Arial"/>
                <w:szCs w:val="22"/>
              </w:rPr>
            </w:pPr>
            <w:r w:rsidRPr="00EE6454">
              <w:rPr>
                <w:rFonts w:cs="Arial"/>
                <w:szCs w:val="22"/>
              </w:rPr>
              <w:t xml:space="preserve">The </w:t>
            </w:r>
            <w:r w:rsidRPr="00EE6454">
              <w:rPr>
                <w:szCs w:val="22"/>
              </w:rPr>
              <w:t xml:space="preserve">employing authority </w:t>
            </w:r>
            <w:r w:rsidRPr="00EE6454">
              <w:rPr>
                <w:rFonts w:cs="Arial"/>
                <w:szCs w:val="22"/>
              </w:rPr>
              <w:t xml:space="preserve">can agree to a former member having longer than 12 months to choose not to combine their pensions. </w:t>
            </w: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12</w:t>
            </w:r>
          </w:p>
        </w:tc>
        <w:tc>
          <w:tcPr>
            <w:tcW w:w="690" w:type="pct"/>
            <w:shd w:val="clear" w:color="auto" w:fill="BFBFBF" w:themeFill="background1" w:themeFillShade="BF"/>
          </w:tcPr>
          <w:p w:rsidR="00CD584F" w:rsidRPr="00EE6454" w:rsidRDefault="00CD584F" w:rsidP="00BE7295">
            <w:pPr>
              <w:rPr>
                <w:rFonts w:cs="Arial"/>
                <w:b/>
                <w:szCs w:val="22"/>
              </w:rPr>
            </w:pPr>
            <w:r w:rsidRPr="00EE6454">
              <w:rPr>
                <w:rFonts w:cs="Arial"/>
                <w:b/>
                <w:szCs w:val="22"/>
              </w:rPr>
              <w:t>Aggregation of Benefits: Deferred Member becoming Active Member</w:t>
            </w:r>
            <w:r>
              <w:rPr>
                <w:rFonts w:cs="Arial"/>
                <w:b/>
                <w:szCs w:val="22"/>
              </w:rPr>
              <w:t xml:space="preserve"> (pre-2014 membership)</w:t>
            </w:r>
          </w:p>
          <w:p w:rsidR="00CD584F" w:rsidRDefault="00CD584F" w:rsidP="00BE7295">
            <w:pPr>
              <w:rPr>
                <w:b/>
                <w:szCs w:val="22"/>
              </w:rPr>
            </w:pPr>
          </w:p>
        </w:tc>
        <w:tc>
          <w:tcPr>
            <w:tcW w:w="507" w:type="pct"/>
            <w:shd w:val="clear" w:color="auto" w:fill="BFBFBF" w:themeFill="background1" w:themeFillShade="BF"/>
          </w:tcPr>
          <w:p w:rsidR="00CD584F" w:rsidRDefault="00CD584F" w:rsidP="00BE7295">
            <w:pPr>
              <w:rPr>
                <w:szCs w:val="22"/>
              </w:rPr>
            </w:pPr>
            <w:r>
              <w:rPr>
                <w:rFonts w:cs="Arial"/>
                <w:szCs w:val="22"/>
              </w:rPr>
              <w:t>Regulation 10(6)(b) Transitional Regulations</w:t>
            </w:r>
          </w:p>
        </w:tc>
        <w:tc>
          <w:tcPr>
            <w:tcW w:w="948" w:type="pct"/>
            <w:shd w:val="clear" w:color="auto" w:fill="BFBFBF" w:themeFill="background1" w:themeFillShade="BF"/>
          </w:tcPr>
          <w:p w:rsidR="00CD584F" w:rsidRDefault="00CD584F" w:rsidP="00BE7295">
            <w:pPr>
              <w:rPr>
                <w:szCs w:val="22"/>
              </w:rPr>
            </w:pPr>
            <w:r w:rsidRPr="00EE6454">
              <w:rPr>
                <w:rFonts w:cs="Arial"/>
                <w:szCs w:val="22"/>
              </w:rPr>
              <w:t xml:space="preserve">Whether to allow a deferred member who becomes an active member longer than 12 months in which to </w:t>
            </w:r>
            <w:r w:rsidRPr="003D4329">
              <w:rPr>
                <w:rFonts w:cs="Arial"/>
                <w:b/>
                <w:szCs w:val="22"/>
              </w:rPr>
              <w:t>elect</w:t>
            </w:r>
            <w:r w:rsidRPr="00EE6454">
              <w:rPr>
                <w:rFonts w:cs="Arial"/>
                <w:szCs w:val="22"/>
              </w:rPr>
              <w:t xml:space="preserve"> </w:t>
            </w:r>
            <w:r>
              <w:rPr>
                <w:rFonts w:cs="Arial"/>
                <w:szCs w:val="22"/>
              </w:rPr>
              <w:t>for</w:t>
            </w:r>
            <w:r w:rsidRPr="00EE6454">
              <w:rPr>
                <w:rFonts w:cs="Arial"/>
                <w:szCs w:val="22"/>
              </w:rPr>
              <w:t xml:space="preserve"> their </w:t>
            </w:r>
            <w:r>
              <w:rPr>
                <w:rFonts w:cs="Arial"/>
                <w:szCs w:val="22"/>
              </w:rPr>
              <w:t xml:space="preserve">pre-2014 </w:t>
            </w:r>
            <w:r w:rsidRPr="00EE6454">
              <w:rPr>
                <w:rFonts w:cs="Arial"/>
                <w:szCs w:val="22"/>
              </w:rPr>
              <w:t xml:space="preserve">deferred benefits </w:t>
            </w:r>
            <w:r>
              <w:rPr>
                <w:rFonts w:cs="Arial"/>
                <w:szCs w:val="22"/>
              </w:rPr>
              <w:t xml:space="preserve">to be </w:t>
            </w:r>
            <w:r w:rsidRPr="00EE6454">
              <w:rPr>
                <w:rFonts w:cs="Arial"/>
                <w:szCs w:val="22"/>
              </w:rPr>
              <w:t>aggregated with their active member’s pension account</w:t>
            </w:r>
            <w:r>
              <w:rPr>
                <w:rFonts w:cs="Arial"/>
                <w:szCs w:val="22"/>
              </w:rPr>
              <w:t xml:space="preserve"> (but, technically, they would lose the final salary link if they have not made an election under 5(5) Transitional Regulations within twelve months of becoming an active member of 2013 scheme).</w:t>
            </w:r>
          </w:p>
        </w:tc>
        <w:tc>
          <w:tcPr>
            <w:tcW w:w="1239" w:type="pct"/>
            <w:shd w:val="clear" w:color="auto" w:fill="BFBFBF" w:themeFill="background1" w:themeFillShade="BF"/>
          </w:tcPr>
          <w:p w:rsidR="00CD584F" w:rsidRDefault="00CD584F" w:rsidP="00BE7295">
            <w:pPr>
              <w:rPr>
                <w:rFonts w:cs="Arial"/>
                <w:szCs w:val="22"/>
              </w:rPr>
            </w:pPr>
            <w:r w:rsidRPr="00EE6454">
              <w:rPr>
                <w:rFonts w:cs="Arial"/>
                <w:szCs w:val="22"/>
              </w:rPr>
              <w:t xml:space="preserve">The </w:t>
            </w:r>
            <w:r>
              <w:rPr>
                <w:rFonts w:cs="Arial"/>
                <w:szCs w:val="22"/>
              </w:rPr>
              <w:t xml:space="preserve">pre-2014 preserved </w:t>
            </w:r>
            <w:r w:rsidRPr="00EE6454">
              <w:rPr>
                <w:rFonts w:cs="Arial"/>
                <w:szCs w:val="22"/>
              </w:rPr>
              <w:t xml:space="preserve">benefits </w:t>
            </w:r>
            <w:r>
              <w:rPr>
                <w:rFonts w:cs="Arial"/>
                <w:szCs w:val="22"/>
              </w:rPr>
              <w:t xml:space="preserve">will be kept separate </w:t>
            </w:r>
            <w:r w:rsidRPr="00EE6454">
              <w:rPr>
                <w:rFonts w:cs="Arial"/>
                <w:b/>
                <w:szCs w:val="22"/>
              </w:rPr>
              <w:t>unless</w:t>
            </w:r>
            <w:r w:rsidRPr="00EE6454">
              <w:rPr>
                <w:rFonts w:cs="Arial"/>
                <w:szCs w:val="22"/>
              </w:rPr>
              <w:t xml:space="preserve"> the member </w:t>
            </w:r>
            <w:r>
              <w:rPr>
                <w:rFonts w:cs="Arial"/>
                <w:szCs w:val="22"/>
              </w:rPr>
              <w:t xml:space="preserve">makes a positive </w:t>
            </w:r>
            <w:r w:rsidRPr="00EE6454">
              <w:rPr>
                <w:rFonts w:cs="Arial"/>
                <w:szCs w:val="22"/>
              </w:rPr>
              <w:t>elect</w:t>
            </w:r>
            <w:r>
              <w:rPr>
                <w:rFonts w:cs="Arial"/>
                <w:szCs w:val="22"/>
              </w:rPr>
              <w:t>ion to aggregate them</w:t>
            </w:r>
            <w:r w:rsidRPr="00EE6454">
              <w:rPr>
                <w:rFonts w:cs="Arial"/>
                <w:szCs w:val="22"/>
              </w:rPr>
              <w:t>.</w:t>
            </w:r>
          </w:p>
          <w:p w:rsidR="00CD584F" w:rsidRDefault="00CD584F" w:rsidP="00BE7295">
            <w:pPr>
              <w:rPr>
                <w:rFonts w:cs="Arial"/>
                <w:szCs w:val="22"/>
              </w:rPr>
            </w:pPr>
          </w:p>
          <w:p w:rsidR="00CD584F" w:rsidRDefault="00CD584F" w:rsidP="00BE7295">
            <w:pPr>
              <w:rPr>
                <w:szCs w:val="22"/>
              </w:rPr>
            </w:pPr>
            <w:r w:rsidRPr="00EE6454">
              <w:rPr>
                <w:rFonts w:cs="Arial"/>
                <w:szCs w:val="22"/>
              </w:rPr>
              <w:t xml:space="preserve">The </w:t>
            </w:r>
            <w:r w:rsidRPr="00EE6454">
              <w:rPr>
                <w:szCs w:val="22"/>
              </w:rPr>
              <w:t xml:space="preserve">employing authority </w:t>
            </w:r>
            <w:r w:rsidRPr="00EE6454">
              <w:rPr>
                <w:rFonts w:cs="Arial"/>
                <w:szCs w:val="22"/>
              </w:rPr>
              <w:t xml:space="preserve">can agree to a former member having longer than 12 months to choose to combine their pensions.  </w:t>
            </w: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BFBFBF" w:themeFill="background1" w:themeFillShade="BF"/>
          </w:tcPr>
          <w:p w:rsidR="00CD584F" w:rsidRDefault="00CD584F" w:rsidP="00BE7295">
            <w:pPr>
              <w:rPr>
                <w:b/>
                <w:szCs w:val="22"/>
              </w:rPr>
            </w:pPr>
            <w:r>
              <w:rPr>
                <w:b/>
                <w:szCs w:val="22"/>
              </w:rPr>
              <w:t>13</w:t>
            </w:r>
          </w:p>
        </w:tc>
        <w:tc>
          <w:tcPr>
            <w:tcW w:w="690" w:type="pct"/>
            <w:shd w:val="clear" w:color="auto" w:fill="BFBFBF" w:themeFill="background1" w:themeFillShade="BF"/>
          </w:tcPr>
          <w:p w:rsidR="00CD584F" w:rsidRDefault="00CD584F" w:rsidP="00BE7295">
            <w:pPr>
              <w:rPr>
                <w:b/>
                <w:szCs w:val="22"/>
              </w:rPr>
            </w:pPr>
            <w:r w:rsidRPr="00EE6454">
              <w:rPr>
                <w:b/>
                <w:szCs w:val="22"/>
              </w:rPr>
              <w:t>Inward Transfer of Pension Rights</w:t>
            </w:r>
          </w:p>
        </w:tc>
        <w:tc>
          <w:tcPr>
            <w:tcW w:w="507" w:type="pct"/>
            <w:shd w:val="clear" w:color="auto" w:fill="BFBFBF" w:themeFill="background1" w:themeFillShade="BF"/>
          </w:tcPr>
          <w:p w:rsidR="00CD584F" w:rsidRDefault="00CD584F" w:rsidP="00BE7295">
            <w:pPr>
              <w:rPr>
                <w:szCs w:val="22"/>
              </w:rPr>
            </w:pPr>
            <w:r w:rsidRPr="00EE6454">
              <w:rPr>
                <w:szCs w:val="22"/>
              </w:rPr>
              <w:t>Regulation 100, Pensions Regulations</w:t>
            </w:r>
          </w:p>
        </w:tc>
        <w:tc>
          <w:tcPr>
            <w:tcW w:w="948" w:type="pct"/>
            <w:shd w:val="clear" w:color="auto" w:fill="BFBFBF" w:themeFill="background1" w:themeFillShade="BF"/>
          </w:tcPr>
          <w:p w:rsidR="00CD584F" w:rsidRDefault="00CD584F" w:rsidP="00BE7295">
            <w:pPr>
              <w:rPr>
                <w:szCs w:val="22"/>
              </w:rPr>
            </w:pPr>
            <w:r w:rsidRPr="00EE6454">
              <w:rPr>
                <w:szCs w:val="22"/>
              </w:rPr>
              <w:t xml:space="preserve">Whether to allow an employee who has been an active member in their current employment for more than 12 months to </w:t>
            </w:r>
            <w:r>
              <w:rPr>
                <w:szCs w:val="22"/>
              </w:rPr>
              <w:t xml:space="preserve">ask for the </w:t>
            </w:r>
            <w:r w:rsidRPr="00EE6454">
              <w:rPr>
                <w:szCs w:val="22"/>
              </w:rPr>
              <w:t xml:space="preserve">transfer </w:t>
            </w:r>
            <w:r>
              <w:rPr>
                <w:szCs w:val="22"/>
              </w:rPr>
              <w:t>of</w:t>
            </w:r>
            <w:r w:rsidRPr="00EE6454">
              <w:rPr>
                <w:szCs w:val="22"/>
              </w:rPr>
              <w:t xml:space="preserve"> certain accrued pension rights</w:t>
            </w:r>
            <w:r>
              <w:rPr>
                <w:szCs w:val="22"/>
              </w:rPr>
              <w:t xml:space="preserve"> to be considered.</w:t>
            </w:r>
          </w:p>
          <w:p w:rsidR="00CD584F" w:rsidRPr="00EE6454" w:rsidRDefault="00CD584F" w:rsidP="00BE7295">
            <w:pPr>
              <w:rPr>
                <w:b/>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Regulation 100</w:t>
            </w:r>
            <w:r>
              <w:rPr>
                <w:szCs w:val="22"/>
              </w:rPr>
              <w:t>(6)</w:t>
            </w:r>
            <w:r w:rsidRPr="00EE6454">
              <w:rPr>
                <w:szCs w:val="22"/>
              </w:rPr>
              <w:t xml:space="preserve"> of the Pensions Regulations requires that a request must be made within 12 months beginning with the date on which the member </w:t>
            </w:r>
            <w:r>
              <w:rPr>
                <w:szCs w:val="22"/>
              </w:rPr>
              <w:t xml:space="preserve">first </w:t>
            </w:r>
            <w:r w:rsidRPr="00EE6454">
              <w:rPr>
                <w:szCs w:val="22"/>
              </w:rPr>
              <w:t xml:space="preserve">became an active member in an employment or such longer period as the employer and the Administering Authority may allow. The discretion is, therefore, only exercisable if </w:t>
            </w:r>
            <w:r w:rsidRPr="00EE6454">
              <w:rPr>
                <w:b/>
                <w:szCs w:val="22"/>
              </w:rPr>
              <w:t>both</w:t>
            </w:r>
            <w:r w:rsidRPr="00EE6454">
              <w:rPr>
                <w:szCs w:val="22"/>
              </w:rPr>
              <w:t xml:space="preserve"> the Employing Authority and the Administering Authority</w:t>
            </w:r>
            <w:r>
              <w:rPr>
                <w:szCs w:val="22"/>
              </w:rPr>
              <w:t xml:space="preserve"> agree</w:t>
            </w:r>
            <w:r w:rsidRPr="00EE6454">
              <w:rPr>
                <w:szCs w:val="22"/>
              </w:rPr>
              <w:t>.</w:t>
            </w:r>
          </w:p>
          <w:p w:rsidR="00CD584F" w:rsidRPr="00EE6454" w:rsidRDefault="00CD584F" w:rsidP="00BE7295">
            <w:pPr>
              <w:rPr>
                <w:szCs w:val="22"/>
              </w:rPr>
            </w:pPr>
          </w:p>
        </w:tc>
        <w:tc>
          <w:tcPr>
            <w:tcW w:w="1239" w:type="pct"/>
            <w:shd w:val="clear" w:color="auto" w:fill="BFBFBF" w:themeFill="background1" w:themeFillShade="BF"/>
          </w:tcPr>
          <w:p w:rsidR="00CD584F" w:rsidRPr="00EE6454" w:rsidRDefault="00CD584F" w:rsidP="00BE7295">
            <w:pPr>
              <w:rPr>
                <w:rFonts w:cs="Arial"/>
                <w:szCs w:val="22"/>
              </w:rPr>
            </w:pPr>
            <w:r w:rsidRPr="00EE6454">
              <w:rPr>
                <w:szCs w:val="22"/>
              </w:rPr>
              <w:t>Members who have been</w:t>
            </w:r>
            <w:r>
              <w:rPr>
                <w:szCs w:val="22"/>
              </w:rPr>
              <w:t xml:space="preserve"> </w:t>
            </w:r>
            <w:r w:rsidRPr="00EE6454">
              <w:rPr>
                <w:szCs w:val="22"/>
              </w:rPr>
              <w:t xml:space="preserve">in the pension scheme </w:t>
            </w:r>
            <w:r w:rsidRPr="00EE6454">
              <w:rPr>
                <w:rFonts w:cs="Arial"/>
                <w:szCs w:val="22"/>
              </w:rPr>
              <w:t>for more than twelve months can ask for a transfer-in to be considered - but it w</w:t>
            </w:r>
            <w:r>
              <w:rPr>
                <w:rFonts w:cs="Arial"/>
                <w:szCs w:val="22"/>
              </w:rPr>
              <w:t>ill</w:t>
            </w:r>
            <w:r w:rsidRPr="00EE6454">
              <w:rPr>
                <w:rFonts w:cs="Arial"/>
                <w:szCs w:val="22"/>
              </w:rPr>
              <w:t xml:space="preserve"> only be investigated if </w:t>
            </w:r>
            <w:r w:rsidRPr="00EE6454">
              <w:rPr>
                <w:rFonts w:cs="Arial"/>
                <w:b/>
                <w:szCs w:val="22"/>
              </w:rPr>
              <w:t>both</w:t>
            </w:r>
            <w:r w:rsidRPr="00EE6454">
              <w:rPr>
                <w:rFonts w:cs="Arial"/>
                <w:szCs w:val="22"/>
              </w:rPr>
              <w:t xml:space="preserve"> the employing authority and the administering authority agreed.</w:t>
            </w:r>
          </w:p>
          <w:p w:rsidR="00CD584F" w:rsidRDefault="00CD584F" w:rsidP="00BE7295">
            <w:pPr>
              <w:rPr>
                <w:szCs w:val="22"/>
              </w:rPr>
            </w:pPr>
          </w:p>
        </w:tc>
        <w:tc>
          <w:tcPr>
            <w:tcW w:w="1394" w:type="pct"/>
            <w:shd w:val="clear" w:color="auto" w:fill="BFBFBF" w:themeFill="background1" w:themeFillShade="BF"/>
          </w:tcPr>
          <w:p w:rsidR="00CD584F" w:rsidRDefault="00CD584F" w:rsidP="00BE7295">
            <w:pPr>
              <w:rPr>
                <w:szCs w:val="22"/>
              </w:rPr>
            </w:pPr>
            <w:r>
              <w:rPr>
                <w:szCs w:val="22"/>
              </w:rPr>
              <w:t>MVDC will only extend the deadline in exceptional circumstances</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14</w:t>
            </w:r>
          </w:p>
        </w:tc>
        <w:tc>
          <w:tcPr>
            <w:tcW w:w="690" w:type="pct"/>
            <w:shd w:val="clear" w:color="auto" w:fill="C5E0B3" w:themeFill="accent6" w:themeFillTint="66"/>
          </w:tcPr>
          <w:p w:rsidR="00CD584F" w:rsidRDefault="00CD584F" w:rsidP="00BE7295">
            <w:pPr>
              <w:rPr>
                <w:b/>
                <w:szCs w:val="22"/>
              </w:rPr>
            </w:pPr>
            <w:r w:rsidRPr="00EE6454">
              <w:rPr>
                <w:b/>
                <w:szCs w:val="22"/>
              </w:rPr>
              <w:t>Redundancy Payments</w:t>
            </w:r>
          </w:p>
          <w:p w:rsidR="00CD584F" w:rsidRPr="00EE6454" w:rsidRDefault="00CD584F" w:rsidP="00BE7295">
            <w:pPr>
              <w:rPr>
                <w:b/>
                <w:szCs w:val="22"/>
              </w:rPr>
            </w:pPr>
          </w:p>
          <w:p w:rsidR="00CD584F" w:rsidRDefault="00CD584F" w:rsidP="00BE7295">
            <w:pPr>
              <w:rPr>
                <w:b/>
                <w:szCs w:val="22"/>
              </w:rPr>
            </w:pPr>
          </w:p>
        </w:tc>
        <w:tc>
          <w:tcPr>
            <w:tcW w:w="507" w:type="pct"/>
            <w:shd w:val="clear" w:color="auto" w:fill="C5E0B3" w:themeFill="accent6" w:themeFillTint="66"/>
          </w:tcPr>
          <w:p w:rsidR="00CD584F" w:rsidRDefault="00CD584F" w:rsidP="00BE7295">
            <w:pPr>
              <w:rPr>
                <w:szCs w:val="22"/>
              </w:rPr>
            </w:pPr>
            <w:r w:rsidRPr="00EE6454">
              <w:rPr>
                <w:szCs w:val="22"/>
              </w:rPr>
              <w:t>Regulation 5, Compensation Regulations 2006</w:t>
            </w:r>
          </w:p>
        </w:tc>
        <w:tc>
          <w:tcPr>
            <w:tcW w:w="948" w:type="pct"/>
            <w:shd w:val="clear" w:color="auto" w:fill="C5E0B3" w:themeFill="accent6" w:themeFillTint="66"/>
          </w:tcPr>
          <w:p w:rsidR="00CD584F" w:rsidRPr="00EE6454" w:rsidRDefault="00CD584F" w:rsidP="00BE7295">
            <w:pPr>
              <w:rPr>
                <w:szCs w:val="22"/>
              </w:rPr>
            </w:pPr>
            <w:r w:rsidRPr="00EE6454">
              <w:rPr>
                <w:szCs w:val="22"/>
              </w:rPr>
              <w:t>Whether to base redundancy pay on actual pay where actual pay exceeds the statutory maximum under the Employment Rights Act 1996</w:t>
            </w:r>
            <w:r>
              <w:rPr>
                <w:szCs w:val="22"/>
              </w:rPr>
              <w:t xml:space="preserve"> (£525.00 from 1</w:t>
            </w:r>
            <w:r w:rsidRPr="00DD6B96">
              <w:rPr>
                <w:szCs w:val="22"/>
                <w:vertAlign w:val="superscript"/>
              </w:rPr>
              <w:t>st</w:t>
            </w:r>
            <w:r>
              <w:rPr>
                <w:szCs w:val="22"/>
              </w:rPr>
              <w:t xml:space="preserve"> April 2019)</w:t>
            </w:r>
            <w:r w:rsidRPr="00EE6454">
              <w:rPr>
                <w:szCs w:val="22"/>
              </w:rPr>
              <w:t>.</w:t>
            </w:r>
          </w:p>
        </w:tc>
        <w:tc>
          <w:tcPr>
            <w:tcW w:w="1239" w:type="pct"/>
            <w:shd w:val="clear" w:color="auto" w:fill="C5E0B3" w:themeFill="accent6" w:themeFillTint="66"/>
          </w:tcPr>
          <w:p w:rsidR="00CD584F" w:rsidRDefault="00CD584F" w:rsidP="00BE7295">
            <w:pPr>
              <w:rPr>
                <w:szCs w:val="22"/>
              </w:rPr>
            </w:pPr>
            <w:r w:rsidRPr="00EE6454">
              <w:rPr>
                <w:szCs w:val="22"/>
              </w:rPr>
              <w:t xml:space="preserve">The employer can base the calculation of a week’s pay for redundancy on actual pay if it is higher than the statutory limit (currently £508 in </w:t>
            </w:r>
            <w:r>
              <w:rPr>
                <w:szCs w:val="22"/>
              </w:rPr>
              <w:t>April 2018)</w:t>
            </w:r>
          </w:p>
        </w:tc>
        <w:tc>
          <w:tcPr>
            <w:tcW w:w="1394" w:type="pct"/>
            <w:shd w:val="clear" w:color="auto" w:fill="C5E0B3" w:themeFill="accent6" w:themeFillTint="66"/>
          </w:tcPr>
          <w:p w:rsidR="00CD584F" w:rsidRDefault="00CD584F" w:rsidP="00BE7295">
            <w:pPr>
              <w:rPr>
                <w:szCs w:val="22"/>
              </w:rPr>
            </w:pPr>
            <w:r>
              <w:rPr>
                <w:szCs w:val="22"/>
              </w:rPr>
              <w:t xml:space="preserve">MVDC may pay statutory improved redundancy payments and each case will be considered on its merits.  </w:t>
            </w:r>
          </w:p>
          <w:p w:rsidR="00CD584F" w:rsidRDefault="00CD584F" w:rsidP="00BE7295">
            <w:pPr>
              <w:rPr>
                <w:szCs w:val="22"/>
              </w:rPr>
            </w:pPr>
          </w:p>
          <w:p w:rsidR="00CD584F" w:rsidRDefault="00CD584F" w:rsidP="00BE7295">
            <w:pPr>
              <w:rPr>
                <w:szCs w:val="22"/>
              </w:rPr>
            </w:pPr>
            <w:r>
              <w:rPr>
                <w:szCs w:val="22"/>
              </w:rPr>
              <w:t xml:space="preserve">Policy to Manage Staff Changes gives further guidance. </w:t>
            </w:r>
          </w:p>
        </w:tc>
      </w:tr>
      <w:tr w:rsidR="00CD584F" w:rsidTr="00BE7295">
        <w:tc>
          <w:tcPr>
            <w:tcW w:w="222" w:type="pct"/>
            <w:shd w:val="clear" w:color="auto" w:fill="C5E0B3" w:themeFill="accent6" w:themeFillTint="66"/>
          </w:tcPr>
          <w:p w:rsidR="00CD584F" w:rsidRDefault="00CD584F" w:rsidP="00BE7295">
            <w:pPr>
              <w:rPr>
                <w:b/>
                <w:szCs w:val="22"/>
              </w:rPr>
            </w:pPr>
            <w:r>
              <w:rPr>
                <w:b/>
                <w:szCs w:val="22"/>
              </w:rPr>
              <w:t>15</w:t>
            </w:r>
          </w:p>
        </w:tc>
        <w:tc>
          <w:tcPr>
            <w:tcW w:w="690" w:type="pct"/>
            <w:shd w:val="clear" w:color="auto" w:fill="C5E0B3" w:themeFill="accent6" w:themeFillTint="66"/>
          </w:tcPr>
          <w:p w:rsidR="00CD584F" w:rsidRDefault="00CD584F" w:rsidP="00BE7295">
            <w:pPr>
              <w:rPr>
                <w:b/>
                <w:szCs w:val="22"/>
              </w:rPr>
            </w:pPr>
            <w:r w:rsidRPr="00EE6454">
              <w:rPr>
                <w:b/>
                <w:szCs w:val="22"/>
              </w:rPr>
              <w:t>Compensation for loss of Employment</w:t>
            </w:r>
          </w:p>
        </w:tc>
        <w:tc>
          <w:tcPr>
            <w:tcW w:w="507" w:type="pct"/>
            <w:shd w:val="clear" w:color="auto" w:fill="C5E0B3" w:themeFill="accent6" w:themeFillTint="66"/>
          </w:tcPr>
          <w:p w:rsidR="00CD584F" w:rsidRDefault="00CD584F" w:rsidP="00BE7295">
            <w:pPr>
              <w:rPr>
                <w:szCs w:val="22"/>
              </w:rPr>
            </w:pPr>
            <w:r w:rsidRPr="00EE6454">
              <w:rPr>
                <w:szCs w:val="22"/>
              </w:rPr>
              <w:t>Regulation 6, Compensation Regulations 2006</w:t>
            </w:r>
          </w:p>
        </w:tc>
        <w:tc>
          <w:tcPr>
            <w:tcW w:w="948" w:type="pct"/>
            <w:shd w:val="clear" w:color="auto" w:fill="C5E0B3" w:themeFill="accent6" w:themeFillTint="66"/>
          </w:tcPr>
          <w:p w:rsidR="00CD584F" w:rsidRPr="00EE6454" w:rsidRDefault="00CD584F" w:rsidP="00BE7295">
            <w:pPr>
              <w:rPr>
                <w:szCs w:val="22"/>
              </w:rPr>
            </w:pPr>
          </w:p>
          <w:p w:rsidR="00CD584F" w:rsidRPr="00EE6454" w:rsidRDefault="00CD584F" w:rsidP="00BE7295">
            <w:pPr>
              <w:rPr>
                <w:szCs w:val="22"/>
              </w:rPr>
            </w:pPr>
            <w:r w:rsidRPr="00EE6454">
              <w:rPr>
                <w:szCs w:val="22"/>
              </w:rPr>
              <w:t xml:space="preserve">Whether to pay compensation to a person whose employment ceases </w:t>
            </w:r>
          </w:p>
          <w:p w:rsidR="00CD584F" w:rsidRPr="00EE6454" w:rsidRDefault="00CD584F" w:rsidP="00CD584F">
            <w:pPr>
              <w:numPr>
                <w:ilvl w:val="0"/>
                <w:numId w:val="5"/>
              </w:numPr>
              <w:rPr>
                <w:szCs w:val="22"/>
              </w:rPr>
            </w:pPr>
            <w:r w:rsidRPr="00EE6454">
              <w:rPr>
                <w:szCs w:val="22"/>
              </w:rPr>
              <w:t>by reason of redundancy;</w:t>
            </w:r>
          </w:p>
          <w:p w:rsidR="00CD584F" w:rsidRPr="00EE6454" w:rsidRDefault="00CD584F" w:rsidP="00CD584F">
            <w:pPr>
              <w:numPr>
                <w:ilvl w:val="0"/>
                <w:numId w:val="5"/>
              </w:numPr>
              <w:rPr>
                <w:szCs w:val="22"/>
              </w:rPr>
            </w:pPr>
            <w:r w:rsidRPr="00EE6454">
              <w:rPr>
                <w:szCs w:val="22"/>
              </w:rPr>
              <w:t>in the interests of the efficient exercise of the employing authority’s functions; or</w:t>
            </w:r>
          </w:p>
          <w:p w:rsidR="00CD584F" w:rsidRPr="00EE6454" w:rsidRDefault="00CD584F" w:rsidP="00BE7295">
            <w:pPr>
              <w:rPr>
                <w:szCs w:val="22"/>
              </w:rPr>
            </w:pPr>
            <w:r w:rsidRPr="00EE6454">
              <w:rPr>
                <w:szCs w:val="22"/>
              </w:rPr>
              <w:t>in the case of a joint appointment, because the other holder of the appointment leaves</w:t>
            </w:r>
          </w:p>
          <w:p w:rsidR="00CD584F" w:rsidRPr="00EE6454" w:rsidRDefault="00CD584F" w:rsidP="00BE7295">
            <w:pPr>
              <w:rPr>
                <w:szCs w:val="22"/>
              </w:rPr>
            </w:pPr>
          </w:p>
          <w:p w:rsidR="00CD584F" w:rsidRPr="00EE6454" w:rsidRDefault="00CD584F" w:rsidP="00BE7295">
            <w:pPr>
              <w:rPr>
                <w:b/>
                <w:szCs w:val="22"/>
              </w:rPr>
            </w:pPr>
            <w:r w:rsidRPr="00EE6454">
              <w:rPr>
                <w:b/>
                <w:szCs w:val="22"/>
              </w:rPr>
              <w:t>Note:</w:t>
            </w:r>
          </w:p>
          <w:p w:rsidR="00CD584F" w:rsidRPr="00EE6454" w:rsidRDefault="00CD584F" w:rsidP="00BE7295">
            <w:pPr>
              <w:rPr>
                <w:szCs w:val="22"/>
              </w:rPr>
            </w:pPr>
            <w:r w:rsidRPr="00EE6454">
              <w:rPr>
                <w:szCs w:val="22"/>
              </w:rPr>
              <w:t>Compensation may not be paid under this Regulation if:</w:t>
            </w:r>
          </w:p>
          <w:p w:rsidR="00CD584F" w:rsidRPr="00EE6454" w:rsidRDefault="00CD584F" w:rsidP="00BE7295">
            <w:pPr>
              <w:rPr>
                <w:szCs w:val="22"/>
              </w:rPr>
            </w:pPr>
          </w:p>
          <w:p w:rsidR="00CD584F" w:rsidRPr="00EE6454" w:rsidRDefault="00CD584F" w:rsidP="00CD584F">
            <w:pPr>
              <w:numPr>
                <w:ilvl w:val="0"/>
                <w:numId w:val="5"/>
              </w:numPr>
              <w:rPr>
                <w:szCs w:val="22"/>
              </w:rPr>
            </w:pPr>
            <w:r w:rsidRPr="00EE6454">
              <w:rPr>
                <w:szCs w:val="22"/>
              </w:rPr>
              <w:t xml:space="preserve"> a person’s period of </w:t>
            </w:r>
          </w:p>
          <w:p w:rsidR="00CD584F" w:rsidRPr="00EE6454" w:rsidRDefault="00CD584F" w:rsidP="00BE7295">
            <w:pPr>
              <w:ind w:left="474" w:hanging="234"/>
              <w:rPr>
                <w:szCs w:val="22"/>
              </w:rPr>
            </w:pPr>
            <w:r w:rsidRPr="00EE6454">
              <w:rPr>
                <w:szCs w:val="22"/>
              </w:rPr>
              <w:t xml:space="preserve">    membership of the Pension Scheme has been increased under Regulation 12 of the Benefits Regulations</w:t>
            </w:r>
            <w:r>
              <w:rPr>
                <w:szCs w:val="22"/>
              </w:rPr>
              <w:t xml:space="preserve"> 2007</w:t>
            </w:r>
            <w:r w:rsidRPr="00EE6454">
              <w:rPr>
                <w:szCs w:val="22"/>
              </w:rPr>
              <w:t xml:space="preserve"> (see above); or</w:t>
            </w:r>
          </w:p>
          <w:p w:rsidR="00CD584F" w:rsidRPr="00EE6454" w:rsidRDefault="00CD584F" w:rsidP="00BE7295">
            <w:pPr>
              <w:ind w:left="474" w:hanging="234"/>
              <w:rPr>
                <w:szCs w:val="22"/>
              </w:rPr>
            </w:pPr>
          </w:p>
          <w:p w:rsidR="00CD584F" w:rsidRPr="00EE6454" w:rsidRDefault="00CD584F" w:rsidP="00CD584F">
            <w:pPr>
              <w:numPr>
                <w:ilvl w:val="0"/>
                <w:numId w:val="5"/>
              </w:numPr>
              <w:rPr>
                <w:szCs w:val="22"/>
              </w:rPr>
            </w:pPr>
            <w:r w:rsidRPr="00EE6454">
              <w:rPr>
                <w:szCs w:val="22"/>
              </w:rPr>
              <w:t xml:space="preserve">a person has been awarded an additional pension under Regulation 13 of the Benefits Regulations </w:t>
            </w:r>
            <w:r>
              <w:rPr>
                <w:szCs w:val="22"/>
              </w:rPr>
              <w:t xml:space="preserve">2007 </w:t>
            </w:r>
            <w:r w:rsidRPr="00EE6454">
              <w:rPr>
                <w:szCs w:val="22"/>
              </w:rPr>
              <w:t>see above).</w:t>
            </w:r>
          </w:p>
          <w:p w:rsidR="00CD584F" w:rsidRPr="00EE6454" w:rsidRDefault="00CD584F" w:rsidP="00BE7295">
            <w:pPr>
              <w:rPr>
                <w:szCs w:val="22"/>
              </w:rPr>
            </w:pPr>
          </w:p>
          <w:p w:rsidR="00CD584F" w:rsidRPr="00EE6454" w:rsidRDefault="00CD584F" w:rsidP="00BE7295">
            <w:pPr>
              <w:rPr>
                <w:szCs w:val="22"/>
              </w:rPr>
            </w:pPr>
            <w:r w:rsidRPr="00EE6454">
              <w:rPr>
                <w:szCs w:val="22"/>
              </w:rPr>
              <w:t>In all cases the amount of compensation paid under this Regulation may not exceed 104 weeks’ pay</w:t>
            </w:r>
            <w:r>
              <w:rPr>
                <w:szCs w:val="22"/>
              </w:rPr>
              <w:t xml:space="preserve"> </w:t>
            </w:r>
            <w:r w:rsidRPr="00D81440">
              <w:rPr>
                <w:szCs w:val="22"/>
                <w:u w:val="single"/>
              </w:rPr>
              <w:t>less</w:t>
            </w:r>
            <w:r>
              <w:rPr>
                <w:szCs w:val="22"/>
              </w:rPr>
              <w:t xml:space="preserve"> any redundancy payment payable.</w:t>
            </w:r>
          </w:p>
          <w:p w:rsidR="00CD584F" w:rsidRPr="00EE6454" w:rsidRDefault="00CD584F" w:rsidP="00BE7295">
            <w:pPr>
              <w:rPr>
                <w:szCs w:val="22"/>
              </w:rPr>
            </w:pPr>
          </w:p>
          <w:p w:rsidR="00CD584F" w:rsidRDefault="00CD584F" w:rsidP="00BE7295">
            <w:pPr>
              <w:rPr>
                <w:szCs w:val="22"/>
              </w:rPr>
            </w:pPr>
            <w:r w:rsidRPr="00EE6454">
              <w:rPr>
                <w:szCs w:val="22"/>
              </w:rPr>
              <w:t>In all cases the decision to pay compensation under this</w:t>
            </w:r>
            <w:r>
              <w:rPr>
                <w:szCs w:val="22"/>
              </w:rPr>
              <w:t xml:space="preserve"> </w:t>
            </w:r>
            <w:r w:rsidRPr="00EE6454">
              <w:rPr>
                <w:szCs w:val="22"/>
              </w:rPr>
              <w:t>Regulation must be made no later than 6 months after the date of termination of the person’s employment.</w:t>
            </w:r>
          </w:p>
          <w:p w:rsidR="00CD584F" w:rsidRPr="00EE6454" w:rsidRDefault="00CD584F" w:rsidP="00BE7295">
            <w:pPr>
              <w:rPr>
                <w:szCs w:val="22"/>
              </w:rPr>
            </w:pPr>
          </w:p>
        </w:tc>
        <w:tc>
          <w:tcPr>
            <w:tcW w:w="1239" w:type="pct"/>
            <w:shd w:val="clear" w:color="auto" w:fill="C5E0B3" w:themeFill="accent6" w:themeFillTint="66"/>
          </w:tcPr>
          <w:p w:rsidR="00CD584F" w:rsidRPr="00EE6454" w:rsidRDefault="00CD584F" w:rsidP="00BE7295">
            <w:pPr>
              <w:rPr>
                <w:szCs w:val="22"/>
              </w:rPr>
            </w:pPr>
            <w:r>
              <w:rPr>
                <w:szCs w:val="22"/>
              </w:rPr>
              <w:t xml:space="preserve">The </w:t>
            </w:r>
            <w:r w:rsidRPr="00EE6454">
              <w:rPr>
                <w:szCs w:val="22"/>
              </w:rPr>
              <w:t xml:space="preserve">employing authority can make an award of up to 104 week’s pay (less any redundancy payment payable). </w:t>
            </w:r>
          </w:p>
          <w:p w:rsidR="00CD584F" w:rsidRPr="00EE6454" w:rsidRDefault="00CD584F" w:rsidP="00BE7295">
            <w:pPr>
              <w:rPr>
                <w:szCs w:val="22"/>
              </w:rPr>
            </w:pPr>
          </w:p>
          <w:p w:rsidR="00CD584F" w:rsidRPr="00EE6454" w:rsidRDefault="00CD584F" w:rsidP="00BE7295">
            <w:pPr>
              <w:rPr>
                <w:szCs w:val="22"/>
              </w:rPr>
            </w:pPr>
          </w:p>
        </w:tc>
        <w:tc>
          <w:tcPr>
            <w:tcW w:w="1394" w:type="pct"/>
            <w:shd w:val="clear" w:color="auto" w:fill="C5E0B3" w:themeFill="accent6" w:themeFillTint="66"/>
          </w:tcPr>
          <w:p w:rsidR="00CD584F" w:rsidRDefault="00CD584F" w:rsidP="00BE7295">
            <w:pPr>
              <w:rPr>
                <w:szCs w:val="22"/>
              </w:rPr>
            </w:pPr>
            <w:r>
              <w:rPr>
                <w:szCs w:val="22"/>
              </w:rPr>
              <w:t xml:space="preserve">MVDC may award this discretion but each case considered on its own merits.  </w:t>
            </w:r>
          </w:p>
          <w:p w:rsidR="00CD584F" w:rsidRDefault="00CD584F" w:rsidP="00BE7295">
            <w:pPr>
              <w:rPr>
                <w:szCs w:val="22"/>
              </w:rPr>
            </w:pPr>
          </w:p>
          <w:p w:rsidR="00CD584F" w:rsidRDefault="00CD584F" w:rsidP="00BE7295">
            <w:pPr>
              <w:rPr>
                <w:szCs w:val="22"/>
              </w:rPr>
            </w:pPr>
            <w:r>
              <w:rPr>
                <w:szCs w:val="22"/>
              </w:rPr>
              <w:t>Policy to Manage Staff Changes gives further guidance.</w:t>
            </w:r>
          </w:p>
        </w:tc>
      </w:tr>
      <w:tr w:rsidR="00CD584F" w:rsidTr="00BE7295">
        <w:tc>
          <w:tcPr>
            <w:tcW w:w="222" w:type="pct"/>
            <w:shd w:val="clear" w:color="auto" w:fill="D9D9D9" w:themeFill="background1" w:themeFillShade="D9"/>
          </w:tcPr>
          <w:p w:rsidR="00CD584F" w:rsidRDefault="00CD584F" w:rsidP="00BE7295">
            <w:pPr>
              <w:rPr>
                <w:b/>
                <w:szCs w:val="22"/>
              </w:rPr>
            </w:pPr>
            <w:r>
              <w:rPr>
                <w:b/>
                <w:szCs w:val="22"/>
              </w:rPr>
              <w:t>16</w:t>
            </w:r>
          </w:p>
        </w:tc>
        <w:tc>
          <w:tcPr>
            <w:tcW w:w="690" w:type="pct"/>
            <w:shd w:val="clear" w:color="auto" w:fill="D9D9D9" w:themeFill="background1" w:themeFillShade="D9"/>
          </w:tcPr>
          <w:p w:rsidR="00CD584F" w:rsidRPr="00EE6454" w:rsidRDefault="00CD584F" w:rsidP="00BE7295">
            <w:pPr>
              <w:pStyle w:val="NormalWeb"/>
              <w:spacing w:before="2" w:after="2"/>
              <w:rPr>
                <w:rFonts w:ascii="Arial" w:hAnsi="Arial"/>
                <w:b/>
                <w:sz w:val="24"/>
                <w:szCs w:val="22"/>
              </w:rPr>
            </w:pPr>
            <w:r w:rsidRPr="00EE6454">
              <w:rPr>
                <w:rFonts w:ascii="Arial" w:hAnsi="Arial"/>
                <w:b/>
                <w:sz w:val="24"/>
                <w:szCs w:val="22"/>
              </w:rPr>
              <w:t>Injury Allowances</w:t>
            </w:r>
          </w:p>
        </w:tc>
        <w:tc>
          <w:tcPr>
            <w:tcW w:w="507" w:type="pct"/>
            <w:shd w:val="clear" w:color="auto" w:fill="D9D9D9" w:themeFill="background1" w:themeFillShade="D9"/>
          </w:tcPr>
          <w:p w:rsidR="00CD584F" w:rsidRDefault="00CD584F" w:rsidP="00BE7295">
            <w:pPr>
              <w:rPr>
                <w:szCs w:val="22"/>
              </w:rPr>
            </w:pPr>
            <w:r w:rsidRPr="00EE6454">
              <w:t>14(1) of the Compensation Regulations 2011</w:t>
            </w:r>
          </w:p>
        </w:tc>
        <w:tc>
          <w:tcPr>
            <w:tcW w:w="948" w:type="pct"/>
            <w:shd w:val="clear" w:color="auto" w:fill="D9D9D9" w:themeFill="background1" w:themeFillShade="D9"/>
          </w:tcPr>
          <w:p w:rsidR="00CD584F" w:rsidRPr="00EE6454" w:rsidRDefault="00CD584F" w:rsidP="00BE7295">
            <w:pPr>
              <w:pStyle w:val="NormalWeb"/>
              <w:spacing w:before="2" w:after="2"/>
              <w:rPr>
                <w:rFonts w:ascii="Arial" w:hAnsi="Arial"/>
                <w:sz w:val="24"/>
              </w:rPr>
            </w:pPr>
            <w:r w:rsidRPr="00EE6454">
              <w:rPr>
                <w:rFonts w:ascii="Arial" w:hAnsi="Arial"/>
                <w:sz w:val="24"/>
              </w:rPr>
              <w:t xml:space="preserve">Scheme employers (LGPS employers), </w:t>
            </w:r>
            <w:r w:rsidRPr="00EE6454">
              <w:rPr>
                <w:rFonts w:ascii="Arial" w:hAnsi="Arial"/>
                <w:b/>
                <w:sz w:val="24"/>
              </w:rPr>
              <w:t>apart from admission bodies</w:t>
            </w:r>
            <w:r w:rsidRPr="00EE6454">
              <w:rPr>
                <w:rFonts w:ascii="Arial" w:hAnsi="Arial"/>
                <w:sz w:val="24"/>
              </w:rPr>
              <w:t xml:space="preserve">, must formulate, publish and keep under review a policy on: </w:t>
            </w:r>
          </w:p>
          <w:p w:rsidR="00CD584F" w:rsidRPr="00EE6454" w:rsidRDefault="00CD584F" w:rsidP="00BE7295">
            <w:pPr>
              <w:pStyle w:val="NormalWeb"/>
              <w:spacing w:before="2" w:after="2"/>
              <w:rPr>
                <w:rFonts w:ascii="Arial" w:hAnsi="Arial"/>
                <w:sz w:val="24"/>
              </w:rPr>
            </w:pPr>
          </w:p>
          <w:p w:rsidR="00CD584F" w:rsidRDefault="00CD584F" w:rsidP="00CD584F">
            <w:pPr>
              <w:pStyle w:val="NormalWeb"/>
              <w:numPr>
                <w:ilvl w:val="0"/>
                <w:numId w:val="6"/>
              </w:numPr>
              <w:spacing w:before="2" w:after="2"/>
              <w:rPr>
                <w:rFonts w:ascii="Arial" w:hAnsi="Arial"/>
                <w:sz w:val="24"/>
              </w:rPr>
            </w:pPr>
            <w:r w:rsidRPr="00EE6454">
              <w:rPr>
                <w:rFonts w:ascii="Arial" w:hAnsi="Arial"/>
                <w:sz w:val="24"/>
              </w:rPr>
              <w:t xml:space="preserve">whether to make an injury award to those who sustain an injury or contract a disease as a result of anything they were required to do in performing the duties of their job and in consequence of which they: </w:t>
            </w:r>
          </w:p>
          <w:p w:rsidR="00CD584F" w:rsidRPr="00EE6454" w:rsidRDefault="00CD584F" w:rsidP="00BE7295">
            <w:pPr>
              <w:pStyle w:val="NormalWeb"/>
              <w:spacing w:before="2" w:after="2"/>
              <w:ind w:left="720"/>
              <w:rPr>
                <w:rFonts w:ascii="Arial" w:hAnsi="Arial"/>
                <w:sz w:val="24"/>
              </w:rPr>
            </w:pPr>
          </w:p>
          <w:p w:rsidR="00CD584F" w:rsidRDefault="00CD584F" w:rsidP="00CD584F">
            <w:pPr>
              <w:pStyle w:val="NormalWeb"/>
              <w:numPr>
                <w:ilvl w:val="1"/>
                <w:numId w:val="6"/>
              </w:numPr>
              <w:spacing w:before="2" w:after="2"/>
              <w:rPr>
                <w:rFonts w:ascii="Arial" w:hAnsi="Arial"/>
                <w:sz w:val="24"/>
              </w:rPr>
            </w:pPr>
            <w:r w:rsidRPr="00EE6454">
              <w:rPr>
                <w:rFonts w:ascii="Arial" w:hAnsi="Arial"/>
                <w:sz w:val="24"/>
              </w:rPr>
              <w:t xml:space="preserve">-  suffer a reduction in remuneration, or </w:t>
            </w:r>
          </w:p>
          <w:p w:rsidR="00CD584F" w:rsidRPr="00EE6454" w:rsidRDefault="00CD584F" w:rsidP="00BE7295">
            <w:pPr>
              <w:pStyle w:val="NormalWeb"/>
              <w:spacing w:before="2" w:after="2"/>
              <w:ind w:left="1440"/>
              <w:rPr>
                <w:rFonts w:ascii="Arial" w:hAnsi="Arial"/>
                <w:sz w:val="24"/>
              </w:rPr>
            </w:pPr>
          </w:p>
          <w:p w:rsidR="00CD584F" w:rsidRDefault="00CD584F" w:rsidP="00CD584F">
            <w:pPr>
              <w:pStyle w:val="NormalWeb"/>
              <w:numPr>
                <w:ilvl w:val="1"/>
                <w:numId w:val="6"/>
              </w:numPr>
              <w:spacing w:before="2" w:after="2"/>
              <w:rPr>
                <w:rFonts w:ascii="Arial" w:hAnsi="Arial"/>
                <w:sz w:val="24"/>
              </w:rPr>
            </w:pPr>
            <w:r w:rsidRPr="00EE6454">
              <w:rPr>
                <w:rFonts w:ascii="Arial" w:hAnsi="Arial"/>
                <w:sz w:val="24"/>
              </w:rPr>
              <w:t>-  cease to be employed as a result of an incapacity which is likely to be permanent and which was caused by the injury or disease, or</w:t>
            </w:r>
          </w:p>
          <w:p w:rsidR="00CD584F" w:rsidRDefault="00CD584F" w:rsidP="00BE7295">
            <w:pPr>
              <w:pStyle w:val="ListParagraph"/>
            </w:pPr>
          </w:p>
          <w:p w:rsidR="00CD584F" w:rsidRPr="00EE6454" w:rsidRDefault="00CD584F" w:rsidP="00CD584F">
            <w:pPr>
              <w:pStyle w:val="NormalWeb"/>
              <w:numPr>
                <w:ilvl w:val="1"/>
                <w:numId w:val="6"/>
              </w:numPr>
              <w:spacing w:before="2" w:after="2"/>
              <w:rPr>
                <w:rFonts w:ascii="Arial" w:hAnsi="Arial"/>
                <w:sz w:val="24"/>
              </w:rPr>
            </w:pPr>
            <w:r w:rsidRPr="00EE6454">
              <w:rPr>
                <w:rFonts w:ascii="Arial" w:hAnsi="Arial"/>
                <w:sz w:val="24"/>
              </w:rPr>
              <w:t xml:space="preserve">-  die leaving a surviving spouse, civil partner or dependant, and                  </w:t>
            </w:r>
          </w:p>
          <w:p w:rsidR="00CD584F" w:rsidRPr="00EE6454" w:rsidRDefault="00CD584F" w:rsidP="00BE7295">
            <w:pPr>
              <w:pStyle w:val="NormalWeb"/>
              <w:spacing w:before="2" w:after="2"/>
              <w:rPr>
                <w:rFonts w:ascii="Arial" w:hAnsi="Arial"/>
                <w:sz w:val="24"/>
              </w:rPr>
            </w:pPr>
          </w:p>
          <w:p w:rsidR="00CD584F" w:rsidRPr="00EE6454" w:rsidRDefault="00CD584F" w:rsidP="00CD584F">
            <w:pPr>
              <w:pStyle w:val="NormalWeb"/>
              <w:numPr>
                <w:ilvl w:val="0"/>
                <w:numId w:val="6"/>
              </w:numPr>
              <w:spacing w:before="2" w:after="2"/>
              <w:rPr>
                <w:rFonts w:ascii="Arial" w:hAnsi="Arial"/>
                <w:sz w:val="24"/>
              </w:rPr>
            </w:pPr>
            <w:r w:rsidRPr="00EE6454">
              <w:rPr>
                <w:rFonts w:ascii="Arial" w:hAnsi="Arial"/>
                <w:sz w:val="24"/>
              </w:rPr>
              <w:t>if the Scheme employer has a policy to make such payments, how it will determine the amount of injury allowance to be paid</w:t>
            </w:r>
            <w:r>
              <w:rPr>
                <w:rFonts w:ascii="Arial" w:hAnsi="Arial"/>
                <w:sz w:val="24"/>
              </w:rPr>
              <w:t>?</w:t>
            </w:r>
          </w:p>
          <w:p w:rsidR="00CD584F" w:rsidRDefault="00CD584F" w:rsidP="00BE7295">
            <w:pPr>
              <w:rPr>
                <w:szCs w:val="22"/>
              </w:rPr>
            </w:pPr>
          </w:p>
        </w:tc>
        <w:tc>
          <w:tcPr>
            <w:tcW w:w="1239" w:type="pct"/>
            <w:shd w:val="clear" w:color="auto" w:fill="D9D9D9" w:themeFill="background1" w:themeFillShade="D9"/>
          </w:tcPr>
          <w:p w:rsidR="00CD584F" w:rsidRPr="00EE6454" w:rsidRDefault="00CD584F" w:rsidP="00BE7295">
            <w:pPr>
              <w:rPr>
                <w:szCs w:val="22"/>
              </w:rPr>
            </w:pPr>
            <w:r w:rsidRPr="00EE6454">
              <w:rPr>
                <w:szCs w:val="22"/>
              </w:rPr>
              <w:t xml:space="preserve">An employing authority may award an injury allowance to employees who contract an injury or illness </w:t>
            </w:r>
            <w:r>
              <w:rPr>
                <w:szCs w:val="22"/>
              </w:rPr>
              <w:t xml:space="preserve">related to </w:t>
            </w:r>
            <w:r w:rsidRPr="00EE6454">
              <w:rPr>
                <w:szCs w:val="22"/>
              </w:rPr>
              <w:t>their employment.</w:t>
            </w:r>
          </w:p>
          <w:p w:rsidR="00CD584F" w:rsidRDefault="00CD584F" w:rsidP="00BE7295">
            <w:pPr>
              <w:rPr>
                <w:szCs w:val="22"/>
              </w:rPr>
            </w:pPr>
          </w:p>
        </w:tc>
        <w:tc>
          <w:tcPr>
            <w:tcW w:w="1394" w:type="pct"/>
            <w:shd w:val="clear" w:color="auto" w:fill="D9D9D9" w:themeFill="background1" w:themeFillShade="D9"/>
          </w:tcPr>
          <w:p w:rsidR="00CD584F" w:rsidRDefault="00CD584F" w:rsidP="00BE7295">
            <w:pPr>
              <w:rPr>
                <w:szCs w:val="22"/>
              </w:rPr>
            </w:pPr>
            <w:r>
              <w:rPr>
                <w:szCs w:val="22"/>
              </w:rPr>
              <w:t xml:space="preserve">MVDC will only pay injury allowances in exceptional circumstances </w:t>
            </w:r>
          </w:p>
        </w:tc>
      </w:tr>
    </w:tbl>
    <w:p w:rsidR="00CD584F" w:rsidRDefault="00CD584F" w:rsidP="00CD584F"/>
    <w:p w:rsidR="00CD584F" w:rsidRDefault="00CD584F" w:rsidP="00CD584F"/>
    <w:p w:rsidR="00CD584F" w:rsidRDefault="00CD584F" w:rsidP="00CD584F"/>
    <w:p w:rsidR="00CD584F" w:rsidRDefault="00CD584F" w:rsidP="00CD584F"/>
    <w:p w:rsidR="00CD584F" w:rsidRDefault="00CD584F" w:rsidP="00CD584F">
      <w:r>
        <w:t>19</w:t>
      </w:r>
      <w:r w:rsidRPr="008E3AAE">
        <w:rPr>
          <w:vertAlign w:val="superscript"/>
        </w:rPr>
        <w:t>th</w:t>
      </w:r>
      <w:r>
        <w:t xml:space="preserve"> November 2020  </w:t>
      </w: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BC7BE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rsidR="00BC7BE7" w:rsidRDefault="00BC7BE7"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BC7BE7" w:rsidRDefault="00BC7BE7" w:rsidP="00343E36">
            <w:pPr>
              <w:pStyle w:val="NoSpacing"/>
              <w:spacing w:line="276" w:lineRule="auto"/>
              <w:rPr>
                <w:b/>
                <w:bCs/>
              </w:rPr>
            </w:pPr>
            <w:r>
              <w:rPr>
                <w:b/>
                <w:bCs/>
              </w:rPr>
              <w:t xml:space="preserve">Version Status </w:t>
            </w:r>
          </w:p>
          <w:p w:rsidR="00BC7BE7" w:rsidRDefault="00BC7BE7"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BC7BE7" w:rsidRDefault="00BC7BE7"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BC7BE7" w:rsidRDefault="00BC7BE7"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BC7BE7" w:rsidRDefault="00BC7BE7" w:rsidP="00343E36">
            <w:pPr>
              <w:pStyle w:val="NoSpacing"/>
              <w:spacing w:line="276" w:lineRule="auto"/>
              <w:rPr>
                <w:b/>
                <w:bCs/>
              </w:rPr>
            </w:pPr>
            <w:r>
              <w:rPr>
                <w:b/>
                <w:bCs/>
              </w:rPr>
              <w:t>Version Author</w:t>
            </w:r>
          </w:p>
        </w:tc>
      </w:tr>
      <w:tr w:rsidR="00BC7BE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BE7" w:rsidRDefault="00BC7BE7" w:rsidP="00343E36">
            <w:pPr>
              <w:pStyle w:val="NoSpacing"/>
              <w:spacing w:line="276" w:lineRule="auto"/>
            </w:pPr>
            <w:r>
              <w:t>V1.0</w:t>
            </w:r>
          </w:p>
          <w:p w:rsidR="00BC7BE7" w:rsidRDefault="00BC7BE7"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BC7BE7" w:rsidRDefault="00BC7BE7"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rsidR="00BC7BE7" w:rsidRDefault="00BC7BE7" w:rsidP="00BC7BE7">
            <w:pPr>
              <w:pStyle w:val="NoSpacing"/>
              <w:spacing w:line="276" w:lineRule="auto"/>
            </w:pPr>
            <w:r>
              <w:t>1</w:t>
            </w:r>
            <w:r>
              <w:t>9</w:t>
            </w:r>
            <w:bookmarkStart w:id="0" w:name="_GoBack"/>
            <w:bookmarkEnd w:id="0"/>
            <w:r>
              <w:t xml:space="preserve"> </w:t>
            </w:r>
            <w:r>
              <w:t>November</w:t>
            </w:r>
            <w:r>
              <w:t xml:space="preserve"> 20</w:t>
            </w:r>
            <w:r>
              <w:t>20</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BC7BE7" w:rsidRDefault="00BC7BE7" w:rsidP="00343E36">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rsidR="00BC7BE7" w:rsidRDefault="00BC7BE7" w:rsidP="00343E36">
            <w:pPr>
              <w:pStyle w:val="NoSpacing"/>
              <w:spacing w:line="276" w:lineRule="auto"/>
            </w:pPr>
          </w:p>
        </w:tc>
      </w:tr>
      <w:tr w:rsidR="00BC7BE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7BE7" w:rsidRPr="0056112D" w:rsidRDefault="00BC7BE7"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BC7BE7" w:rsidRPr="0056112D" w:rsidRDefault="00BC7BE7"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rsidR="00BC7BE7" w:rsidRDefault="00BC7BE7" w:rsidP="00343E36">
            <w:pPr>
              <w:pStyle w:val="NoSpacing"/>
              <w:spacing w:line="276" w:lineRule="auto"/>
              <w:rPr>
                <w:color w:val="000000"/>
              </w:rPr>
            </w:pPr>
            <w:r>
              <w:rPr>
                <w:color w:val="000000"/>
              </w:rPr>
              <w:t xml:space="preserve">Due </w:t>
            </w:r>
            <w:r>
              <w:rPr>
                <w:color w:val="000000"/>
              </w:rPr>
              <w:t xml:space="preserve">November </w:t>
            </w:r>
            <w:r>
              <w:rPr>
                <w:color w:val="000000"/>
              </w:rPr>
              <w:t>202</w:t>
            </w:r>
            <w:r>
              <w:rPr>
                <w:color w:val="000000"/>
              </w:rPr>
              <w:t>3</w:t>
            </w:r>
          </w:p>
          <w:p w:rsidR="00BC7BE7" w:rsidRPr="0056112D" w:rsidRDefault="00BC7BE7"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BC7BE7" w:rsidRPr="0056112D" w:rsidRDefault="00BC7BE7" w:rsidP="00343E36">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rsidR="00BC7BE7" w:rsidRPr="0056112D" w:rsidRDefault="00BC7BE7" w:rsidP="00343E36">
            <w:pPr>
              <w:pStyle w:val="NoSpacing"/>
              <w:spacing w:line="276" w:lineRule="auto"/>
              <w:rPr>
                <w:color w:val="000000"/>
              </w:rPr>
            </w:pPr>
            <w:r>
              <w:t>CS</w:t>
            </w:r>
          </w:p>
        </w:tc>
      </w:tr>
    </w:tbl>
    <w:p w:rsidR="00CD584F" w:rsidRDefault="00CD584F"/>
    <w:sectPr w:rsidR="00CD584F" w:rsidSect="00CD584F">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DD" w:rsidRDefault="00DF75DD" w:rsidP="00E65B95">
      <w:r>
        <w:separator/>
      </w:r>
    </w:p>
  </w:endnote>
  <w:endnote w:type="continuationSeparator" w:id="0">
    <w:p w:rsidR="00DF75DD" w:rsidRDefault="00DF75DD" w:rsidP="00E6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DF" w:rsidRPr="00E65B95" w:rsidRDefault="00BC7BE7" w:rsidP="00E65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DD" w:rsidRDefault="00DF75DD" w:rsidP="00E65B95">
      <w:r>
        <w:separator/>
      </w:r>
    </w:p>
  </w:footnote>
  <w:footnote w:type="continuationSeparator" w:id="0">
    <w:p w:rsidR="00DF75DD" w:rsidRDefault="00DF75DD" w:rsidP="00E6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DF" w:rsidRPr="00D127E0" w:rsidRDefault="00BC7BE7" w:rsidP="007234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95" w:rsidRDefault="00E6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93F"/>
    <w:multiLevelType w:val="hybridMultilevel"/>
    <w:tmpl w:val="9DA07E14"/>
    <w:lvl w:ilvl="0" w:tplc="6D7474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87659"/>
    <w:multiLevelType w:val="multilevel"/>
    <w:tmpl w:val="316A3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504E7"/>
    <w:multiLevelType w:val="hybridMultilevel"/>
    <w:tmpl w:val="8E3E730A"/>
    <w:lvl w:ilvl="0" w:tplc="6D74748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E13093"/>
    <w:multiLevelType w:val="hybridMultilevel"/>
    <w:tmpl w:val="A170D1FA"/>
    <w:lvl w:ilvl="0" w:tplc="C846BEC8">
      <w:numFmt w:val="bullet"/>
      <w:lvlText w:val="-"/>
      <w:lvlJc w:val="left"/>
      <w:pPr>
        <w:tabs>
          <w:tab w:val="num" w:pos="420"/>
        </w:tabs>
        <w:ind w:left="420" w:hanging="360"/>
      </w:pPr>
      <w:rPr>
        <w:rFonts w:ascii="Arial" w:eastAsia="Times New Roman" w:hAnsi="Arial"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45D84520"/>
    <w:multiLevelType w:val="hybridMultilevel"/>
    <w:tmpl w:val="3B048F54"/>
    <w:lvl w:ilvl="0" w:tplc="6D7474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D111A"/>
    <w:multiLevelType w:val="hybridMultilevel"/>
    <w:tmpl w:val="602E63E2"/>
    <w:lvl w:ilvl="0" w:tplc="370EA3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95"/>
    <w:rsid w:val="002738C6"/>
    <w:rsid w:val="00467BAD"/>
    <w:rsid w:val="004B0F35"/>
    <w:rsid w:val="00833EED"/>
    <w:rsid w:val="008F4F1E"/>
    <w:rsid w:val="009A22FE"/>
    <w:rsid w:val="00A44EC2"/>
    <w:rsid w:val="00BC7BE7"/>
    <w:rsid w:val="00CD584F"/>
    <w:rsid w:val="00D643A7"/>
    <w:rsid w:val="00DF75DD"/>
    <w:rsid w:val="00E65B95"/>
    <w:rsid w:val="00EA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401"/>
  <w15:chartTrackingRefBased/>
  <w15:docId w15:val="{D8B01112-4723-4A21-BFB0-E06EFB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9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5B9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65B95"/>
    <w:rPr>
      <w:rFonts w:ascii="Arial" w:eastAsia="Times New Roman" w:hAnsi="Arial" w:cs="Times New Roman"/>
      <w:sz w:val="24"/>
      <w:szCs w:val="24"/>
      <w:lang w:val="x-none" w:eastAsia="x-none"/>
    </w:rPr>
  </w:style>
  <w:style w:type="paragraph" w:styleId="Header">
    <w:name w:val="header"/>
    <w:basedOn w:val="Normal"/>
    <w:link w:val="HeaderChar"/>
    <w:uiPriority w:val="99"/>
    <w:rsid w:val="00E65B9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E65B95"/>
    <w:rPr>
      <w:rFonts w:ascii="Arial" w:eastAsia="Times New Roman" w:hAnsi="Arial" w:cs="Times New Roman"/>
      <w:sz w:val="24"/>
      <w:szCs w:val="24"/>
      <w:lang w:val="x-none" w:eastAsia="x-none"/>
    </w:rPr>
  </w:style>
  <w:style w:type="paragraph" w:styleId="NormalWeb">
    <w:name w:val="Normal (Web)"/>
    <w:basedOn w:val="Normal"/>
    <w:uiPriority w:val="99"/>
    <w:rsid w:val="00CD584F"/>
    <w:pPr>
      <w:spacing w:beforeLines="1" w:afterLines="1"/>
    </w:pPr>
    <w:rPr>
      <w:rFonts w:ascii="Times" w:hAnsi="Times"/>
      <w:sz w:val="20"/>
      <w:szCs w:val="20"/>
      <w:lang w:eastAsia="en-US"/>
    </w:rPr>
  </w:style>
  <w:style w:type="paragraph" w:styleId="ListParagraph">
    <w:name w:val="List Paragraph"/>
    <w:basedOn w:val="Normal"/>
    <w:uiPriority w:val="34"/>
    <w:qFormat/>
    <w:rsid w:val="00CD584F"/>
    <w:pPr>
      <w:ind w:left="720"/>
      <w:contextualSpacing/>
    </w:pPr>
  </w:style>
  <w:style w:type="paragraph" w:styleId="NoSpacing">
    <w:name w:val="No Spacing"/>
    <w:uiPriority w:val="1"/>
    <w:qFormat/>
    <w:rsid w:val="00BC7BE7"/>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F869B-FE19-4734-B8D6-3FB3CA10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64F05-C0A9-4374-9A00-1F6EB2D0BAD1}">
  <ds:schemaRefs>
    <ds:schemaRef ds:uri="http://schemas.microsoft.com/sharepoint/v3/contenttype/forms"/>
  </ds:schemaRefs>
</ds:datastoreItem>
</file>

<file path=customXml/itemProps3.xml><?xml version="1.0" encoding="utf-8"?>
<ds:datastoreItem xmlns:ds="http://schemas.openxmlformats.org/officeDocument/2006/customXml" ds:itemID="{8F4735C2-C837-4E15-879A-4996AE61F036}">
  <ds:schemaRefs>
    <ds:schemaRef ds:uri="32a9cff3-8d09-4745-b3ab-10cf722d9a9e"/>
    <ds:schemaRef ds:uri="http://schemas.microsoft.com/office/2006/documentManagement/types"/>
    <ds:schemaRef ds:uri="c9be312e-4160-444f-90a4-b49d8eecde6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 BUS</dc:creator>
  <cp:keywords/>
  <dc:description/>
  <cp:lastModifiedBy>Quin, Karen</cp:lastModifiedBy>
  <cp:revision>2</cp:revision>
  <dcterms:created xsi:type="dcterms:W3CDTF">2022-10-19T11:33:00Z</dcterms:created>
  <dcterms:modified xsi:type="dcterms:W3CDTF">2022-10-19T11:33:00Z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