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8656" w14:textId="7A911619" w:rsidR="00E551E3" w:rsidRPr="00E551E3" w:rsidRDefault="00E551E3" w:rsidP="00E551E3">
      <w:pPr>
        <w:spacing w:line="673" w:lineRule="atLeast"/>
        <w:outlineLvl w:val="0"/>
        <w:rPr>
          <w:rFonts w:ascii="Arial" w:eastAsia="Times New Roman" w:hAnsi="Arial" w:cs="Arial"/>
          <w:b/>
          <w:bCs/>
          <w:color w:val="404248"/>
          <w:kern w:val="36"/>
          <w:sz w:val="28"/>
          <w:szCs w:val="28"/>
          <w:lang w:eastAsia="en-GB"/>
        </w:rPr>
      </w:pPr>
      <w:r w:rsidRPr="00E551E3">
        <w:rPr>
          <w:rFonts w:ascii="Arial" w:eastAsia="Times New Roman" w:hAnsi="Arial" w:cs="Arial"/>
          <w:b/>
          <w:bCs/>
          <w:color w:val="404248"/>
          <w:kern w:val="36"/>
          <w:sz w:val="28"/>
          <w:szCs w:val="28"/>
          <w:lang w:eastAsia="en-GB"/>
        </w:rPr>
        <w:t>Transfer</w:t>
      </w:r>
      <w:r w:rsidR="39B3AB98" w:rsidRPr="00E551E3">
        <w:rPr>
          <w:rFonts w:ascii="Arial" w:eastAsia="Times New Roman" w:hAnsi="Arial" w:cs="Arial"/>
          <w:b/>
          <w:bCs/>
          <w:color w:val="404248"/>
          <w:kern w:val="36"/>
          <w:sz w:val="28"/>
          <w:szCs w:val="28"/>
          <w:lang w:eastAsia="en-GB"/>
        </w:rPr>
        <w:t xml:space="preserve"> P</w:t>
      </w:r>
      <w:r w:rsidRPr="00E551E3">
        <w:rPr>
          <w:rFonts w:ascii="Arial" w:eastAsia="Times New Roman" w:hAnsi="Arial" w:cs="Arial"/>
          <w:b/>
          <w:bCs/>
          <w:color w:val="404248"/>
          <w:kern w:val="36"/>
          <w:sz w:val="28"/>
          <w:szCs w:val="28"/>
          <w:lang w:eastAsia="en-GB"/>
        </w:rPr>
        <w:t>rocess (permanent or secondment)</w:t>
      </w:r>
    </w:p>
    <w:p w14:paraId="38517D4A" w14:textId="5D65F6F2" w:rsidR="00E551E3" w:rsidRPr="00E551E3" w:rsidRDefault="00E551E3" w:rsidP="00E551E3">
      <w:pPr>
        <w:spacing w:after="300" w:line="240" w:lineRule="auto"/>
        <w:rPr>
          <w:rFonts w:ascii="Arial" w:eastAsia="Times New Roman" w:hAnsi="Arial" w:cs="Arial"/>
          <w:color w:val="404248"/>
          <w:sz w:val="24"/>
          <w:szCs w:val="24"/>
          <w:lang w:eastAsia="en-GB"/>
        </w:rPr>
      </w:pPr>
      <w:r w:rsidRPr="3048770D">
        <w:rPr>
          <w:rFonts w:ascii="Arial" w:eastAsia="Times New Roman" w:hAnsi="Arial" w:cs="Arial"/>
          <w:color w:val="404248"/>
          <w:sz w:val="24"/>
          <w:szCs w:val="24"/>
          <w:lang w:eastAsia="en-GB"/>
        </w:rPr>
        <w:t>Where the successful candidate recruited to your role is a current MVDC employee</w:t>
      </w:r>
      <w:r w:rsidR="422B59BC" w:rsidRPr="3048770D">
        <w:rPr>
          <w:rFonts w:ascii="Arial" w:eastAsia="Times New Roman" w:hAnsi="Arial" w:cs="Arial"/>
          <w:color w:val="404248"/>
          <w:sz w:val="24"/>
          <w:szCs w:val="24"/>
          <w:lang w:eastAsia="en-GB"/>
        </w:rPr>
        <w:t>,</w:t>
      </w:r>
      <w:r w:rsidRPr="3048770D">
        <w:rPr>
          <w:rFonts w:ascii="Arial" w:eastAsia="Times New Roman" w:hAnsi="Arial" w:cs="Arial"/>
          <w:color w:val="404248"/>
          <w:sz w:val="24"/>
          <w:szCs w:val="24"/>
          <w:lang w:eastAsia="en-GB"/>
        </w:rPr>
        <w:t xml:space="preserve"> the </w:t>
      </w:r>
      <w:r w:rsidR="0004740A" w:rsidRPr="3048770D">
        <w:rPr>
          <w:rFonts w:ascii="Arial" w:eastAsia="Times New Roman" w:hAnsi="Arial" w:cs="Arial"/>
          <w:color w:val="404248"/>
          <w:sz w:val="24"/>
          <w:szCs w:val="24"/>
          <w:lang w:eastAsia="en-GB"/>
        </w:rPr>
        <w:t xml:space="preserve">‘on-boarding’ process is replaced with the following </w:t>
      </w:r>
      <w:r w:rsidRPr="3048770D">
        <w:rPr>
          <w:rFonts w:ascii="Arial" w:eastAsia="Times New Roman" w:hAnsi="Arial" w:cs="Arial"/>
          <w:color w:val="404248"/>
          <w:sz w:val="24"/>
          <w:szCs w:val="24"/>
          <w:lang w:eastAsia="en-GB"/>
        </w:rPr>
        <w:t xml:space="preserve">transfer </w:t>
      </w:r>
      <w:r w:rsidR="0004740A" w:rsidRPr="3048770D">
        <w:rPr>
          <w:rFonts w:ascii="Arial" w:eastAsia="Times New Roman" w:hAnsi="Arial" w:cs="Arial"/>
          <w:color w:val="404248"/>
          <w:sz w:val="24"/>
          <w:szCs w:val="24"/>
          <w:lang w:eastAsia="en-GB"/>
        </w:rPr>
        <w:t xml:space="preserve">process. </w:t>
      </w:r>
      <w:r w:rsidR="00D41FA1" w:rsidRPr="3048770D">
        <w:rPr>
          <w:rFonts w:ascii="Arial" w:eastAsia="Times New Roman" w:hAnsi="Arial" w:cs="Arial"/>
          <w:color w:val="404248"/>
          <w:sz w:val="24"/>
          <w:szCs w:val="24"/>
          <w:lang w:eastAsia="en-GB"/>
        </w:rPr>
        <w:t>T</w:t>
      </w:r>
      <w:r w:rsidRPr="3048770D">
        <w:rPr>
          <w:rFonts w:ascii="Arial" w:eastAsia="Times New Roman" w:hAnsi="Arial" w:cs="Arial"/>
          <w:color w:val="404248"/>
          <w:sz w:val="24"/>
          <w:szCs w:val="24"/>
          <w:lang w:eastAsia="en-GB"/>
        </w:rPr>
        <w:t>o support the employee in their first few month</w:t>
      </w:r>
      <w:r w:rsidR="00875A32" w:rsidRPr="3048770D">
        <w:rPr>
          <w:rFonts w:ascii="Arial" w:eastAsia="Times New Roman" w:hAnsi="Arial" w:cs="Arial"/>
          <w:color w:val="404248"/>
          <w:sz w:val="24"/>
          <w:szCs w:val="24"/>
          <w:lang w:eastAsia="en-GB"/>
        </w:rPr>
        <w:t>s</w:t>
      </w:r>
      <w:r w:rsidRPr="3048770D">
        <w:rPr>
          <w:rFonts w:ascii="Arial" w:eastAsia="Times New Roman" w:hAnsi="Arial" w:cs="Arial"/>
          <w:color w:val="404248"/>
          <w:sz w:val="24"/>
          <w:szCs w:val="24"/>
          <w:lang w:eastAsia="en-GB"/>
        </w:rPr>
        <w:t xml:space="preserve"> w</w:t>
      </w:r>
      <w:r w:rsidR="00875A32" w:rsidRPr="3048770D">
        <w:rPr>
          <w:rFonts w:ascii="Arial" w:eastAsia="Times New Roman" w:hAnsi="Arial" w:cs="Arial"/>
          <w:color w:val="404248"/>
          <w:sz w:val="24"/>
          <w:szCs w:val="24"/>
          <w:lang w:eastAsia="en-GB"/>
        </w:rPr>
        <w:t>i</w:t>
      </w:r>
      <w:r w:rsidR="0004740A" w:rsidRPr="3048770D">
        <w:rPr>
          <w:rFonts w:ascii="Arial" w:eastAsia="Times New Roman" w:hAnsi="Arial" w:cs="Arial"/>
          <w:color w:val="404248"/>
          <w:sz w:val="24"/>
          <w:szCs w:val="24"/>
          <w:lang w:eastAsia="en-GB"/>
        </w:rPr>
        <w:t>thi</w:t>
      </w:r>
      <w:r w:rsidR="00875A32" w:rsidRPr="3048770D">
        <w:rPr>
          <w:rFonts w:ascii="Arial" w:eastAsia="Times New Roman" w:hAnsi="Arial" w:cs="Arial"/>
          <w:color w:val="404248"/>
          <w:sz w:val="24"/>
          <w:szCs w:val="24"/>
          <w:lang w:eastAsia="en-GB"/>
        </w:rPr>
        <w:t>n</w:t>
      </w:r>
      <w:r w:rsidRPr="3048770D">
        <w:rPr>
          <w:rFonts w:ascii="Arial" w:eastAsia="Times New Roman" w:hAnsi="Arial" w:cs="Arial"/>
          <w:color w:val="404248"/>
          <w:sz w:val="24"/>
          <w:szCs w:val="24"/>
          <w:lang w:eastAsia="en-GB"/>
        </w:rPr>
        <w:t xml:space="preserve"> their new team</w:t>
      </w:r>
      <w:r w:rsidR="668AF28B" w:rsidRPr="3048770D">
        <w:rPr>
          <w:rFonts w:ascii="Arial" w:eastAsia="Times New Roman" w:hAnsi="Arial" w:cs="Arial"/>
          <w:color w:val="404248"/>
          <w:sz w:val="24"/>
          <w:szCs w:val="24"/>
          <w:lang w:eastAsia="en-GB"/>
        </w:rPr>
        <w:t>,</w:t>
      </w:r>
      <w:r w:rsidRPr="3048770D">
        <w:rPr>
          <w:rFonts w:ascii="Arial" w:eastAsia="Times New Roman" w:hAnsi="Arial" w:cs="Arial"/>
          <w:color w:val="404248"/>
          <w:sz w:val="24"/>
          <w:szCs w:val="24"/>
          <w:lang w:eastAsia="en-GB"/>
        </w:rPr>
        <w:t xml:space="preserve"> </w:t>
      </w:r>
      <w:r w:rsidR="00875A32" w:rsidRPr="3048770D">
        <w:rPr>
          <w:rFonts w:ascii="Arial" w:eastAsia="Times New Roman" w:hAnsi="Arial" w:cs="Arial"/>
          <w:color w:val="404248"/>
          <w:sz w:val="24"/>
          <w:szCs w:val="24"/>
          <w:lang w:eastAsia="en-GB"/>
        </w:rPr>
        <w:t xml:space="preserve">you need to </w:t>
      </w:r>
      <w:r w:rsidRPr="3048770D">
        <w:rPr>
          <w:rFonts w:ascii="Arial" w:eastAsia="Times New Roman" w:hAnsi="Arial" w:cs="Arial"/>
          <w:color w:val="404248"/>
          <w:sz w:val="24"/>
          <w:szCs w:val="24"/>
          <w:lang w:eastAsia="en-GB"/>
        </w:rPr>
        <w:t>ensure that the transfer actions</w:t>
      </w:r>
      <w:r w:rsidR="00264146" w:rsidRPr="3048770D">
        <w:rPr>
          <w:rFonts w:ascii="Arial" w:eastAsia="Times New Roman" w:hAnsi="Arial" w:cs="Arial"/>
          <w:color w:val="404248"/>
          <w:sz w:val="24"/>
          <w:szCs w:val="24"/>
          <w:lang w:eastAsia="en-GB"/>
        </w:rPr>
        <w:t xml:space="preserve"> below are completed</w:t>
      </w:r>
      <w:r w:rsidR="66C5192B" w:rsidRPr="3048770D">
        <w:rPr>
          <w:rFonts w:ascii="Arial" w:eastAsia="Times New Roman" w:hAnsi="Arial" w:cs="Arial"/>
          <w:color w:val="404248"/>
          <w:sz w:val="24"/>
          <w:szCs w:val="24"/>
          <w:lang w:eastAsia="en-GB"/>
        </w:rPr>
        <w:t>.</w:t>
      </w:r>
    </w:p>
    <w:p w14:paraId="29405707" w14:textId="5126EE33" w:rsidR="00E551E3" w:rsidRDefault="00E551E3" w:rsidP="00E551E3">
      <w:pPr>
        <w:spacing w:after="300" w:line="240" w:lineRule="auto"/>
        <w:rPr>
          <w:rFonts w:ascii="Arial" w:eastAsia="Times New Roman" w:hAnsi="Arial" w:cs="Arial"/>
          <w:color w:val="404248"/>
          <w:sz w:val="24"/>
          <w:szCs w:val="24"/>
          <w:lang w:eastAsia="en-GB"/>
        </w:rPr>
      </w:pPr>
      <w:r w:rsidRPr="0E4BCEA5">
        <w:rPr>
          <w:rFonts w:ascii="Arial" w:hAnsi="Arial" w:cs="Arial"/>
          <w:sz w:val="24"/>
          <w:szCs w:val="24"/>
        </w:rPr>
        <w:t>Once the employee has accepted the offer</w:t>
      </w:r>
      <w:r w:rsidR="00875A32" w:rsidRPr="0E4BCEA5">
        <w:rPr>
          <w:rFonts w:ascii="Arial" w:hAnsi="Arial" w:cs="Arial"/>
          <w:sz w:val="24"/>
          <w:szCs w:val="24"/>
        </w:rPr>
        <w:t>,</w:t>
      </w:r>
      <w:r w:rsidRPr="0E4BCEA5">
        <w:rPr>
          <w:rFonts w:ascii="Arial" w:hAnsi="Arial" w:cs="Arial"/>
          <w:sz w:val="24"/>
          <w:szCs w:val="24"/>
        </w:rPr>
        <w:t xml:space="preserve"> the current manager can be contacted to agree a transfer date.</w:t>
      </w:r>
      <w:r w:rsidRPr="0E4BCEA5">
        <w:rPr>
          <w:rFonts w:ascii="Arial" w:hAnsi="Arial" w:cs="Arial"/>
          <w:color w:val="A6A6A6" w:themeColor="background1" w:themeShade="A6"/>
        </w:rPr>
        <w:t xml:space="preserve"> </w:t>
      </w:r>
      <w:r w:rsidRPr="0E4BCEA5">
        <w:rPr>
          <w:rFonts w:ascii="Arial" w:hAnsi="Arial" w:cs="Arial"/>
          <w:sz w:val="24"/>
          <w:szCs w:val="24"/>
        </w:rPr>
        <w:t>The employee is required to work their contract</w:t>
      </w:r>
      <w:r w:rsidR="63BF3279" w:rsidRPr="0E4BCEA5">
        <w:rPr>
          <w:rFonts w:ascii="Arial" w:hAnsi="Arial" w:cs="Arial"/>
          <w:sz w:val="24"/>
          <w:szCs w:val="24"/>
        </w:rPr>
        <w:t>ual</w:t>
      </w:r>
      <w:r w:rsidRPr="0E4BCEA5">
        <w:rPr>
          <w:rFonts w:ascii="Arial" w:hAnsi="Arial" w:cs="Arial"/>
          <w:sz w:val="24"/>
          <w:szCs w:val="24"/>
        </w:rPr>
        <w:t xml:space="preserve"> notice period in their current </w:t>
      </w:r>
      <w:proofErr w:type="gramStart"/>
      <w:r w:rsidRPr="0E4BCEA5">
        <w:rPr>
          <w:rFonts w:ascii="Arial" w:hAnsi="Arial" w:cs="Arial"/>
          <w:sz w:val="24"/>
          <w:szCs w:val="24"/>
        </w:rPr>
        <w:t>role</w:t>
      </w:r>
      <w:proofErr w:type="gramEnd"/>
      <w:r w:rsidRPr="0E4BCEA5">
        <w:rPr>
          <w:rFonts w:ascii="Arial" w:hAnsi="Arial" w:cs="Arial"/>
          <w:sz w:val="24"/>
          <w:szCs w:val="24"/>
        </w:rPr>
        <w:t xml:space="preserve"> and this will usually determine their transfer date. In some circumstances</w:t>
      </w:r>
      <w:r w:rsidR="50275291" w:rsidRPr="0E4BCEA5">
        <w:rPr>
          <w:rFonts w:ascii="Arial" w:hAnsi="Arial" w:cs="Arial"/>
          <w:sz w:val="24"/>
          <w:szCs w:val="24"/>
        </w:rPr>
        <w:t>,</w:t>
      </w:r>
      <w:r w:rsidRPr="0E4BCEA5">
        <w:rPr>
          <w:rFonts w:ascii="Arial" w:hAnsi="Arial" w:cs="Arial"/>
          <w:sz w:val="24"/>
          <w:szCs w:val="24"/>
        </w:rPr>
        <w:t xml:space="preserve"> it may be mutually agreeable </w:t>
      </w:r>
      <w:r w:rsidR="00F2687B" w:rsidRPr="0E4BCEA5">
        <w:rPr>
          <w:rFonts w:ascii="Arial" w:hAnsi="Arial" w:cs="Arial"/>
          <w:sz w:val="24"/>
          <w:szCs w:val="24"/>
        </w:rPr>
        <w:t>to</w:t>
      </w:r>
      <w:r w:rsidRPr="0E4BCEA5">
        <w:rPr>
          <w:rFonts w:ascii="Arial" w:hAnsi="Arial" w:cs="Arial"/>
          <w:sz w:val="24"/>
          <w:szCs w:val="24"/>
        </w:rPr>
        <w:t xml:space="preserve"> all parties to shorten or extend the transfer date depending on circumstances.</w:t>
      </w:r>
      <w:r w:rsidRPr="0E4BCEA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F2687B" w:rsidRPr="0E4BCEA5">
        <w:rPr>
          <w:rFonts w:ascii="Arial" w:eastAsia="Times New Roman" w:hAnsi="Arial" w:cs="Arial"/>
          <w:sz w:val="24"/>
          <w:szCs w:val="24"/>
          <w:lang w:eastAsia="en-GB"/>
        </w:rPr>
        <w:t xml:space="preserve">Once a </w:t>
      </w:r>
      <w:r w:rsidR="001635F4" w:rsidRPr="0E4BCEA5">
        <w:rPr>
          <w:rFonts w:ascii="Arial" w:eastAsia="Times New Roman" w:hAnsi="Arial" w:cs="Arial"/>
          <w:sz w:val="24"/>
          <w:szCs w:val="24"/>
          <w:lang w:eastAsia="en-GB"/>
        </w:rPr>
        <w:t>provisional</w:t>
      </w:r>
      <w:r w:rsidR="00F2687B" w:rsidRPr="0E4BCEA5">
        <w:rPr>
          <w:rFonts w:ascii="Arial" w:eastAsia="Times New Roman" w:hAnsi="Arial" w:cs="Arial"/>
          <w:sz w:val="24"/>
          <w:szCs w:val="24"/>
          <w:lang w:eastAsia="en-GB"/>
        </w:rPr>
        <w:t xml:space="preserve"> transfer date has been agreed</w:t>
      </w:r>
      <w:r w:rsidR="2BFCC41C" w:rsidRPr="0E4BCEA5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E4BCEA5">
        <w:rPr>
          <w:rFonts w:ascii="Arial" w:eastAsia="Times New Roman" w:hAnsi="Arial" w:cs="Arial"/>
          <w:color w:val="404248"/>
          <w:sz w:val="24"/>
          <w:szCs w:val="24"/>
          <w:lang w:eastAsia="en-GB"/>
        </w:rPr>
        <w:t xml:space="preserve"> you will need </w:t>
      </w:r>
      <w:r w:rsidR="006D442B">
        <w:rPr>
          <w:rFonts w:ascii="Arial" w:eastAsia="Times New Roman" w:hAnsi="Arial" w:cs="Arial"/>
          <w:color w:val="404248"/>
          <w:sz w:val="24"/>
          <w:szCs w:val="24"/>
          <w:lang w:eastAsia="en-GB"/>
        </w:rPr>
        <w:t xml:space="preserve">notify HR and ICT via the </w:t>
      </w:r>
      <w:hyperlink r:id="rId8" w:history="1">
        <w:r w:rsidR="006D442B" w:rsidRPr="006D442B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Service Desk</w:t>
        </w:r>
      </w:hyperlink>
      <w:r w:rsidR="006D442B">
        <w:rPr>
          <w:rFonts w:ascii="Arial" w:eastAsia="Times New Roman" w:hAnsi="Arial" w:cs="Arial"/>
          <w:color w:val="404248"/>
          <w:sz w:val="24"/>
          <w:szCs w:val="24"/>
          <w:lang w:eastAsia="en-GB"/>
        </w:rPr>
        <w:t>.</w:t>
      </w:r>
    </w:p>
    <w:p w14:paraId="24576489" w14:textId="6EBA324C" w:rsidR="00264146" w:rsidRPr="00E551E3" w:rsidRDefault="0004740A" w:rsidP="00E551E3">
      <w:pPr>
        <w:spacing w:after="30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Transfer Process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1843"/>
        <w:gridCol w:w="2268"/>
      </w:tblGrid>
      <w:tr w:rsidR="00601D13" w:rsidRPr="00E551E3" w14:paraId="162F78A5" w14:textId="77777777" w:rsidTr="3048770D">
        <w:tc>
          <w:tcPr>
            <w:tcW w:w="509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B8B010" w14:textId="126F9233" w:rsidR="00E551E3" w:rsidRPr="00E551E3" w:rsidRDefault="0004740A" w:rsidP="005F7FB8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Transfer</w:t>
            </w:r>
            <w:r w:rsidR="00E551E3" w:rsidRPr="00F268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Action (Prior to start date)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473CEB" w14:textId="75A8AC17" w:rsidR="00E551E3" w:rsidRPr="00E551E3" w:rsidRDefault="00E551E3" w:rsidP="00BC5F51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268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Responsible 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F8B473" w14:textId="4350FCCB" w:rsidR="00E551E3" w:rsidRPr="00E551E3" w:rsidRDefault="00BC5F51" w:rsidP="00E551E3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Typical </w:t>
            </w:r>
            <w:r w:rsidR="00E551E3" w:rsidRPr="00F268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Timescale</w:t>
            </w:r>
          </w:p>
        </w:tc>
      </w:tr>
      <w:tr w:rsidR="00601D13" w:rsidRPr="00E551E3" w14:paraId="539A3AE4" w14:textId="77777777" w:rsidTr="3048770D">
        <w:trPr>
          <w:trHeight w:val="726"/>
        </w:trPr>
        <w:tc>
          <w:tcPr>
            <w:tcW w:w="509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3415C1" w14:textId="2A632FB8" w:rsidR="00E551E3" w:rsidRPr="00E551E3" w:rsidRDefault="006D442B" w:rsidP="00D41FA1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Complete ‘Role Change’ form via the </w:t>
            </w:r>
            <w:hyperlink r:id="rId9" w:history="1">
              <w:r w:rsidRPr="006D442B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service desk</w:t>
              </w:r>
            </w:hyperlink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334F5B" w14:textId="77777777" w:rsidR="00E551E3" w:rsidRPr="00E551E3" w:rsidRDefault="00E551E3" w:rsidP="00E551E3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51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Recruiting Manager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77F90D" w14:textId="77777777" w:rsidR="00E551E3" w:rsidRPr="00E551E3" w:rsidRDefault="00E551E3" w:rsidP="00E551E3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51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N/A </w:t>
            </w:r>
          </w:p>
        </w:tc>
      </w:tr>
      <w:tr w:rsidR="00601D13" w:rsidRPr="00E551E3" w14:paraId="1DB9E56C" w14:textId="77777777" w:rsidTr="3048770D">
        <w:tc>
          <w:tcPr>
            <w:tcW w:w="509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D22E7E" w14:textId="0DA06C9F" w:rsidR="00E551E3" w:rsidRPr="00E551E3" w:rsidRDefault="00E551E3" w:rsidP="008F1C27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3048770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Reference request </w:t>
            </w:r>
            <w:r w:rsidR="3CC8D32A" w:rsidRPr="3048770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</w:t>
            </w:r>
            <w:r w:rsidR="03C5FDA5" w:rsidRPr="3048770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current</w:t>
            </w:r>
            <w:r w:rsidR="3CC8D32A" w:rsidRPr="3048770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F2687B" w:rsidRPr="3048770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internal role 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4E86AB" w14:textId="77777777" w:rsidR="00E551E3" w:rsidRPr="00E551E3" w:rsidRDefault="00E551E3" w:rsidP="005F7FB8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51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HR Admin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91215E" w14:textId="77777777" w:rsidR="00E551E3" w:rsidRPr="00E551E3" w:rsidRDefault="00E551E3" w:rsidP="005F7FB8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51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ASAP</w:t>
            </w:r>
          </w:p>
        </w:tc>
      </w:tr>
      <w:tr w:rsidR="00601D13" w:rsidRPr="00E551E3" w14:paraId="6C239BFA" w14:textId="77777777" w:rsidTr="3048770D">
        <w:tc>
          <w:tcPr>
            <w:tcW w:w="509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A324A4" w14:textId="77777777" w:rsidR="00E551E3" w:rsidRPr="00E551E3" w:rsidRDefault="00F2687B" w:rsidP="005F7FB8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037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</w:t>
            </w:r>
            <w:r w:rsidR="00E551E3" w:rsidRPr="002037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edical </w:t>
            </w:r>
            <w:r w:rsidRPr="002037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checks booked</w:t>
            </w:r>
            <w:r w:rsidRPr="005F7F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(if applicable) </w:t>
            </w:r>
            <w:proofErr w:type="gramStart"/>
            <w:r w:rsidRPr="005F7F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e.g.</w:t>
            </w:r>
            <w:proofErr w:type="gramEnd"/>
            <w:r w:rsidRPr="005F7F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driver/night working checks.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C1A190" w14:textId="77777777" w:rsidR="00E551E3" w:rsidRPr="00E551E3" w:rsidRDefault="00E551E3" w:rsidP="005F7FB8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51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HR Admin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5FE011" w14:textId="53D4337F" w:rsidR="00E551E3" w:rsidRPr="00E551E3" w:rsidRDefault="00E551E3" w:rsidP="005F7FB8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51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Within 72 hours of receiving notification</w:t>
            </w:r>
            <w:r w:rsidR="002037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of new role</w:t>
            </w:r>
            <w:r w:rsidRPr="00E551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form</w:t>
            </w:r>
          </w:p>
        </w:tc>
      </w:tr>
      <w:tr w:rsidR="00601D13" w:rsidRPr="00E551E3" w14:paraId="588307D9" w14:textId="77777777" w:rsidTr="3048770D">
        <w:tc>
          <w:tcPr>
            <w:tcW w:w="509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23C1AE" w14:textId="15ADA94B" w:rsidR="00E551E3" w:rsidRPr="00E551E3" w:rsidRDefault="00E551E3" w:rsidP="005F7FB8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51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DBS check </w:t>
            </w:r>
            <w:r w:rsidR="008F1C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</w:t>
            </w:r>
            <w:r w:rsidR="0004740A" w:rsidRPr="005F7F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if applicable</w:t>
            </w:r>
            <w:r w:rsidR="008F1C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C9ED6D" w14:textId="77777777" w:rsidR="00E551E3" w:rsidRPr="00E551E3" w:rsidRDefault="00E551E3" w:rsidP="005F7FB8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51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Recruiting Manager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A657CD" w14:textId="77777777" w:rsidR="00E551E3" w:rsidRPr="00E551E3" w:rsidRDefault="00E551E3" w:rsidP="005F7FB8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51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Before confirming start date </w:t>
            </w:r>
          </w:p>
        </w:tc>
      </w:tr>
      <w:tr w:rsidR="00601D13" w:rsidRPr="00E551E3" w14:paraId="0A82D884" w14:textId="77777777" w:rsidTr="3048770D">
        <w:tc>
          <w:tcPr>
            <w:tcW w:w="509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D0E866" w14:textId="4653D595" w:rsidR="00E551E3" w:rsidRPr="00E551E3" w:rsidRDefault="00E551E3" w:rsidP="005F7FB8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51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Confirmation of background checking</w:t>
            </w:r>
            <w:r w:rsidR="002037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(where new checks are required)</w:t>
            </w:r>
            <w:r w:rsidRPr="00E551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5F7F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and references </w:t>
            </w:r>
            <w:r w:rsidRPr="00E551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sent to recruiting manager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705F5B" w14:textId="77777777" w:rsidR="00E551E3" w:rsidRPr="00E551E3" w:rsidRDefault="00E551E3" w:rsidP="005F7FB8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51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HR Admin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06F8C8" w14:textId="77777777" w:rsidR="00E551E3" w:rsidRPr="00E551E3" w:rsidRDefault="00E551E3" w:rsidP="005F7FB8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51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 N/A </w:t>
            </w:r>
          </w:p>
        </w:tc>
      </w:tr>
      <w:tr w:rsidR="00601D13" w:rsidRPr="00E551E3" w14:paraId="2224F0D3" w14:textId="77777777" w:rsidTr="3048770D">
        <w:tc>
          <w:tcPr>
            <w:tcW w:w="509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B8FAD8" w14:textId="77777777" w:rsidR="00E551E3" w:rsidRPr="00E551E3" w:rsidRDefault="00E551E3" w:rsidP="005F7FB8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51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Confirm start date with candidate</w:t>
            </w:r>
            <w:r w:rsidR="005F7F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current manager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7C27D4" w14:textId="77777777" w:rsidR="00E551E3" w:rsidRPr="00E551E3" w:rsidRDefault="00E551E3" w:rsidP="005F7FB8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51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Recruiting Manager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10D76A" w14:textId="77777777" w:rsidR="00E551E3" w:rsidRPr="00E551E3" w:rsidRDefault="00E551E3" w:rsidP="005F7FB8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51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ASAP</w:t>
            </w:r>
          </w:p>
        </w:tc>
      </w:tr>
      <w:tr w:rsidR="00601D13" w:rsidRPr="00E551E3" w14:paraId="139D06C3" w14:textId="77777777" w:rsidTr="3048770D">
        <w:tc>
          <w:tcPr>
            <w:tcW w:w="509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37971B" w14:textId="77777777" w:rsidR="00E551E3" w:rsidRPr="00E551E3" w:rsidRDefault="00E551E3" w:rsidP="005F7FB8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51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Raise contract and approve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ACD973" w14:textId="77777777" w:rsidR="00E551E3" w:rsidRPr="00E551E3" w:rsidRDefault="00E551E3" w:rsidP="005F7FB8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51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HR Admin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1EE752" w14:textId="044A4BEE" w:rsidR="00E551E3" w:rsidRPr="00E551E3" w:rsidRDefault="00E551E3" w:rsidP="005F7FB8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51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 working days</w:t>
            </w:r>
            <w:r w:rsidR="00BC5F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from</w:t>
            </w:r>
            <w:r w:rsidR="00AC65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confirmed start date</w:t>
            </w:r>
          </w:p>
        </w:tc>
      </w:tr>
      <w:tr w:rsidR="00601D13" w:rsidRPr="00E551E3" w14:paraId="5917B165" w14:textId="77777777" w:rsidTr="3048770D">
        <w:tc>
          <w:tcPr>
            <w:tcW w:w="509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1935BE" w14:textId="68811C51" w:rsidR="00E551E3" w:rsidRPr="00E551E3" w:rsidRDefault="00E551E3" w:rsidP="0004740A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51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ICT set up </w:t>
            </w:r>
            <w:r w:rsidR="00F2687B" w:rsidRPr="005F7F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(acces</w:t>
            </w:r>
            <w:r w:rsidR="0004740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 to any additional programmes)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2F77C5" w14:textId="77777777" w:rsidR="00E551E3" w:rsidRPr="00E551E3" w:rsidRDefault="00E551E3" w:rsidP="005F7FB8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51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Recruiting Manager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126775" w14:textId="77777777" w:rsidR="00E551E3" w:rsidRPr="00E551E3" w:rsidRDefault="00E551E3" w:rsidP="005F7FB8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551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2 weeks before start date </w:t>
            </w:r>
          </w:p>
        </w:tc>
      </w:tr>
      <w:tr w:rsidR="00601D13" w:rsidRPr="00E551E3" w14:paraId="5F078EE8" w14:textId="77777777" w:rsidTr="3048770D">
        <w:tc>
          <w:tcPr>
            <w:tcW w:w="509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FD4AE0" w14:textId="77777777" w:rsidR="00E551E3" w:rsidRPr="00E551E3" w:rsidRDefault="46484D95" w:rsidP="5C6E579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304877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Employee File Transfer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2E75C1" w14:textId="77777777" w:rsidR="00E551E3" w:rsidRPr="00E551E3" w:rsidRDefault="009F303A" w:rsidP="005F7FB8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F7FB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Responsible For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6822B0" w14:textId="77777777" w:rsidR="00E551E3" w:rsidRPr="00E551E3" w:rsidRDefault="009F303A" w:rsidP="005F7FB8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F7FB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Timescale</w:t>
            </w:r>
          </w:p>
        </w:tc>
      </w:tr>
      <w:tr w:rsidR="00601D13" w:rsidRPr="00E551E3" w14:paraId="601743B7" w14:textId="77777777" w:rsidTr="3048770D">
        <w:tc>
          <w:tcPr>
            <w:tcW w:w="509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02335F" w14:textId="77777777" w:rsidR="009F303A" w:rsidRDefault="009F303A" w:rsidP="005F7FB8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F7F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following employee documents should be transferred to the new manager:</w:t>
            </w:r>
          </w:p>
          <w:p w14:paraId="2F799C3A" w14:textId="77777777" w:rsidR="005F7FB8" w:rsidRPr="00601D13" w:rsidRDefault="005F7FB8" w:rsidP="005F7FB8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  <w:r w:rsidRPr="00601D13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Most recent PDR including any development information discussed at 121s</w:t>
            </w:r>
          </w:p>
          <w:p w14:paraId="676B394E" w14:textId="77777777" w:rsidR="005F7FB8" w:rsidRPr="00601D13" w:rsidRDefault="005F7FB8" w:rsidP="005F7FB8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  <w:r w:rsidRPr="00601D1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Information on any ongoing formal procedures including medical </w:t>
            </w:r>
            <w:r w:rsidR="0029423F" w:rsidRPr="00601D1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information </w:t>
            </w:r>
            <w:r w:rsidRPr="00601D1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if a</w:t>
            </w:r>
            <w:r w:rsidR="0029423F" w:rsidRPr="00601D1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pplicable to the ongoing role</w:t>
            </w:r>
          </w:p>
          <w:p w14:paraId="1782562E" w14:textId="77777777" w:rsidR="005F7FB8" w:rsidRPr="00601D13" w:rsidRDefault="0029423F" w:rsidP="005F7FB8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  <w:r w:rsidRPr="00601D13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Any declaration of interest (this should be renewed and agreed with recruiting manager in the context of the new role)</w:t>
            </w:r>
          </w:p>
          <w:p w14:paraId="7E30EB50" w14:textId="77777777" w:rsidR="00601D13" w:rsidRPr="00E551E3" w:rsidRDefault="00601D13" w:rsidP="005F7FB8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01D13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Training agreements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C05CA4" w14:textId="77777777" w:rsidR="00E551E3" w:rsidRPr="00E551E3" w:rsidRDefault="0029423F" w:rsidP="005F7FB8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Current Manager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AECDBB" w14:textId="77777777" w:rsidR="00E551E3" w:rsidRPr="00E551E3" w:rsidRDefault="0029423F" w:rsidP="005F7FB8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 week before start date</w:t>
            </w:r>
          </w:p>
        </w:tc>
      </w:tr>
      <w:tr w:rsidR="00601D13" w:rsidRPr="00E551E3" w14:paraId="14F8CBC5" w14:textId="77777777" w:rsidTr="3048770D">
        <w:tc>
          <w:tcPr>
            <w:tcW w:w="509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902933" w14:textId="77777777" w:rsidR="006D442B" w:rsidRDefault="4187F6CA" w:rsidP="00601D13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E4BCE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following documents should be forwarded to HR</w:t>
            </w:r>
            <w:r w:rsidR="0FE2E4CE" w:rsidRPr="0E4BCE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E4BCE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Admin to be retained on the employee</w:t>
            </w:r>
            <w:r w:rsidR="0C20660D" w:rsidRPr="0E4BCE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’</w:t>
            </w:r>
            <w:r w:rsidRPr="0E4BCE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 personnel file</w:t>
            </w:r>
            <w:r w:rsidR="00BC5F51" w:rsidRPr="0E4BCE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in compliance with </w:t>
            </w:r>
          </w:p>
          <w:p w14:paraId="778DB9F0" w14:textId="03696776" w:rsidR="00601D13" w:rsidRDefault="006D442B" w:rsidP="00601D13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0" w:history="1">
              <w:r w:rsidRPr="006D442B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Records retention schedule</w:t>
              </w:r>
            </w:hyperlink>
            <w:r w:rsidR="4187F6CA" w:rsidRPr="0E4BCE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</w:p>
          <w:p w14:paraId="13233310" w14:textId="77777777" w:rsidR="00601D13" w:rsidRPr="00601D13" w:rsidRDefault="00601D13" w:rsidP="00601D13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  <w:r w:rsidRPr="00601D13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Any other PDRs and development information</w:t>
            </w:r>
          </w:p>
          <w:p w14:paraId="486A9E7D" w14:textId="77777777" w:rsidR="00601D13" w:rsidRPr="00601D13" w:rsidRDefault="00601D13" w:rsidP="00601D13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  <w:r w:rsidRPr="00601D13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Medical information (GP fit notes, OH reports)</w:t>
            </w:r>
          </w:p>
          <w:p w14:paraId="3D4F0BA9" w14:textId="77777777" w:rsidR="00601D13" w:rsidRPr="00601D13" w:rsidRDefault="00601D13" w:rsidP="00601D13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  <w:r w:rsidRPr="00601D13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References (from initial recruitment)</w:t>
            </w:r>
          </w:p>
          <w:p w14:paraId="1C7F1B9A" w14:textId="77777777" w:rsidR="00601D13" w:rsidRPr="00601D13" w:rsidRDefault="00601D13" w:rsidP="00601D13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  <w:r w:rsidRPr="00601D13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Formal procedure documents (disciplinary/grievance/capability)</w:t>
            </w:r>
          </w:p>
          <w:p w14:paraId="5352A82E" w14:textId="77777777" w:rsidR="00601D13" w:rsidRPr="00E551E3" w:rsidRDefault="00601D13" w:rsidP="00601D13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  <w:r w:rsidRPr="00601D13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Training agreements (no longer active)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0AC042" w14:textId="77777777" w:rsidR="00601D13" w:rsidRPr="00E551E3" w:rsidRDefault="00601D13" w:rsidP="00601D13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Current Manager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7E6BC2" w14:textId="77777777" w:rsidR="00601D13" w:rsidRPr="00E551E3" w:rsidRDefault="00601D13" w:rsidP="00601D13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 week before start date</w:t>
            </w:r>
          </w:p>
        </w:tc>
      </w:tr>
      <w:tr w:rsidR="00601D13" w:rsidRPr="00E551E3" w14:paraId="71733C6E" w14:textId="77777777" w:rsidTr="3048770D">
        <w:tc>
          <w:tcPr>
            <w:tcW w:w="509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ADF353" w14:textId="4FEA1FF9" w:rsidR="00601D13" w:rsidRDefault="4187F6CA" w:rsidP="00601D13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E4BCE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following documents should be retained by the current manager and destroyed after 6 months of the employee</w:t>
            </w:r>
            <w:r w:rsidR="7D77F326" w:rsidRPr="0E4BCE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’</w:t>
            </w:r>
            <w:r w:rsidRPr="0E4BCE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 transfer:</w:t>
            </w:r>
          </w:p>
          <w:p w14:paraId="70169595" w14:textId="77777777" w:rsidR="00601D13" w:rsidRDefault="00601D13" w:rsidP="00601D13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  <w:r w:rsidRPr="00601D13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lastRenderedPageBreak/>
              <w:t>121 notes</w:t>
            </w:r>
          </w:p>
          <w:p w14:paraId="575C77D0" w14:textId="5940E10A" w:rsidR="0004740A" w:rsidRPr="00E551E3" w:rsidRDefault="0004740A" w:rsidP="00601D13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Informal capability notes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CCDACF" w14:textId="77777777" w:rsidR="0004740A" w:rsidRDefault="0004740A" w:rsidP="00601D13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C6AF592" w14:textId="77777777" w:rsidR="0004740A" w:rsidRDefault="0004740A" w:rsidP="00601D13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16D5D67" w14:textId="15F328A5" w:rsidR="00601D13" w:rsidRPr="00E551E3" w:rsidRDefault="00601D13" w:rsidP="00601D13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Current Manager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6110AB" w14:textId="77777777" w:rsidR="0004740A" w:rsidRDefault="0004740A" w:rsidP="00601D13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48666CA" w14:textId="77777777" w:rsidR="0004740A" w:rsidRDefault="0004740A" w:rsidP="00601D13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BA4EF0B" w14:textId="15C93F19" w:rsidR="00601D13" w:rsidRPr="00E551E3" w:rsidRDefault="00875A32" w:rsidP="00601D13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6 months after transfer date</w:t>
            </w:r>
          </w:p>
        </w:tc>
      </w:tr>
    </w:tbl>
    <w:p w14:paraId="6CE23414" w14:textId="075BAB02" w:rsidR="002305C6" w:rsidRDefault="006D442B"/>
    <w:p w14:paraId="7F9DB9C6" w14:textId="1D432DB6" w:rsidR="00BC5F51" w:rsidRDefault="00BC5F51" w:rsidP="00BC5F51">
      <w:r>
        <w:t>NB Different managers will have different operating procedures and not all will produce/retain some of the above documentation (</w:t>
      </w:r>
      <w:proofErr w:type="gramStart"/>
      <w:r>
        <w:t>e.g.</w:t>
      </w:r>
      <w:proofErr w:type="gramEnd"/>
      <w:r>
        <w:t xml:space="preserve"> 121 notes) but for any that do exist</w:t>
      </w:r>
      <w:r w:rsidR="4D3EA444">
        <w:t>,</w:t>
      </w:r>
      <w:r>
        <w:t xml:space="preserve"> the above transfer and retention principles will be applied.</w:t>
      </w:r>
    </w:p>
    <w:p w14:paraId="62BC1F6D" w14:textId="77777777" w:rsidR="00BC5F51" w:rsidRDefault="00BC5F51"/>
    <w:sectPr w:rsidR="00BC5F51" w:rsidSect="00E551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1E3"/>
    <w:rsid w:val="0004740A"/>
    <w:rsid w:val="000D16BF"/>
    <w:rsid w:val="001635F4"/>
    <w:rsid w:val="002037C1"/>
    <w:rsid w:val="00264146"/>
    <w:rsid w:val="0029423F"/>
    <w:rsid w:val="003876A5"/>
    <w:rsid w:val="003E7279"/>
    <w:rsid w:val="005F7FB8"/>
    <w:rsid w:val="00601D13"/>
    <w:rsid w:val="00624E63"/>
    <w:rsid w:val="006D442B"/>
    <w:rsid w:val="00701F86"/>
    <w:rsid w:val="00875A32"/>
    <w:rsid w:val="008F1C27"/>
    <w:rsid w:val="009F243D"/>
    <w:rsid w:val="009F303A"/>
    <w:rsid w:val="00AC65A7"/>
    <w:rsid w:val="00BC5F51"/>
    <w:rsid w:val="00D250D2"/>
    <w:rsid w:val="00D41FA1"/>
    <w:rsid w:val="00E551E3"/>
    <w:rsid w:val="00F2687B"/>
    <w:rsid w:val="00F7323B"/>
    <w:rsid w:val="029F1D9D"/>
    <w:rsid w:val="03C5FDA5"/>
    <w:rsid w:val="0BEE8762"/>
    <w:rsid w:val="0C20660D"/>
    <w:rsid w:val="0E4BCEA5"/>
    <w:rsid w:val="0FE2E4CE"/>
    <w:rsid w:val="15CA5E53"/>
    <w:rsid w:val="1CEEFBAF"/>
    <w:rsid w:val="1DAE3432"/>
    <w:rsid w:val="2BFCC41C"/>
    <w:rsid w:val="3048770D"/>
    <w:rsid w:val="398284D4"/>
    <w:rsid w:val="39B3AB98"/>
    <w:rsid w:val="3C74482D"/>
    <w:rsid w:val="3CC8D32A"/>
    <w:rsid w:val="4187F6CA"/>
    <w:rsid w:val="422B59BC"/>
    <w:rsid w:val="46484D95"/>
    <w:rsid w:val="4D3EA444"/>
    <w:rsid w:val="50275291"/>
    <w:rsid w:val="5C6E5790"/>
    <w:rsid w:val="5F74A9CA"/>
    <w:rsid w:val="63BF3279"/>
    <w:rsid w:val="668AF28B"/>
    <w:rsid w:val="66C5192B"/>
    <w:rsid w:val="6978DBFB"/>
    <w:rsid w:val="6EE2C026"/>
    <w:rsid w:val="6FAE22BB"/>
    <w:rsid w:val="7066174E"/>
    <w:rsid w:val="72F4D440"/>
    <w:rsid w:val="7A0356B9"/>
    <w:rsid w:val="7AA5B850"/>
    <w:rsid w:val="7B9C804E"/>
    <w:rsid w:val="7D77F326"/>
    <w:rsid w:val="7D7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1C2B0"/>
  <w15:chartTrackingRefBased/>
  <w15:docId w15:val="{11CF38F7-8305-418A-9A8A-A2283B2D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55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1E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5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551E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551E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2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732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2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2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2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727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D4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4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8013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44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F0F0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.hornbill.com/mvdc/internal/catalog/h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molevalley.gov.uk/records-retention-and-disposal-schedul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live.hornbill.com/mvdc/internal/catalog/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a9cff3-8d09-4745-b3ab-10cf722d9a9e" xsi:nil="true"/>
    <lcf76f155ced4ddcb4097134ff3c332f xmlns="c9be312e-4160-444f-90a4-b49d8eecde6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0CB75011518409B21187B2C582C23" ma:contentTypeVersion="15" ma:contentTypeDescription="Create a new document." ma:contentTypeScope="" ma:versionID="d435083368ad877ac3d434952643423a">
  <xsd:schema xmlns:xsd="http://www.w3.org/2001/XMLSchema" xmlns:xs="http://www.w3.org/2001/XMLSchema" xmlns:p="http://schemas.microsoft.com/office/2006/metadata/properties" xmlns:ns2="c9be312e-4160-444f-90a4-b49d8eecde65" xmlns:ns3="32a9cff3-8d09-4745-b3ab-10cf722d9a9e" targetNamespace="http://schemas.microsoft.com/office/2006/metadata/properties" ma:root="true" ma:fieldsID="0a8e0c491b1411dd9acd1b86c3cb23dc" ns2:_="" ns3:_="">
    <xsd:import namespace="c9be312e-4160-444f-90a4-b49d8eecde65"/>
    <xsd:import namespace="32a9cff3-8d09-4745-b3ab-10cf722d9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e312e-4160-444f-90a4-b49d8eecd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11bfef-9e47-424d-8e6c-dfaedb5064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9cff3-8d09-4745-b3ab-10cf722d9a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18b36b-1cf0-4158-95ca-36987ff6d5d9}" ma:internalName="TaxCatchAll" ma:showField="CatchAllData" ma:web="32a9cff3-8d09-4745-b3ab-10cf722d9a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90E8E3-A738-4579-8299-28A03703764F}">
  <ds:schemaRefs>
    <ds:schemaRef ds:uri="http://purl.org/dc/terms/"/>
    <ds:schemaRef ds:uri="c9be312e-4160-444f-90a4-b49d8eecde65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32a9cff3-8d09-4745-b3ab-10cf722d9a9e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C16A6CF-033B-4E77-AA63-FE7415330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e312e-4160-444f-90a4-b49d8eecde65"/>
    <ds:schemaRef ds:uri="32a9cff3-8d09-4745-b3ab-10cf722d9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0DC6A4-B006-4550-AA46-2C3787F69E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0B98B7-272E-484A-8BCB-9971CE1ACA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480</Words>
  <Characters>2740</Characters>
  <Application>Microsoft Office Word</Application>
  <DocSecurity>0</DocSecurity>
  <Lines>22</Lines>
  <Paragraphs>6</Paragraphs>
  <ScaleCrop>false</ScaleCrop>
  <Company>Mole Valley District Council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Skinner, Charlie</dc:creator>
  <cp:keywords/>
  <dc:description/>
  <cp:lastModifiedBy>Skinner, Charlie</cp:lastModifiedBy>
  <cp:revision>2</cp:revision>
  <dcterms:created xsi:type="dcterms:W3CDTF">2022-10-18T15:45:00Z</dcterms:created>
  <dcterms:modified xsi:type="dcterms:W3CDTF">2022-10-18T15:45:00Z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0x01010009D0CB75011518409B21187B2C582C23</vt:lpwstr>
  </property>
</Properties>
</file>