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9E" w:rsidRDefault="00202962" w:rsidP="007E3752">
      <w:pPr>
        <w:jc w:val="both"/>
        <w:rPr>
          <w:rFonts w:ascii="Arial" w:hAnsi="Arial" w:cs="Arial"/>
          <w:b/>
        </w:rPr>
      </w:pPr>
      <w:r>
        <w:rPr>
          <w:rFonts w:ascii="Arial" w:hAnsi="Arial" w:cs="Arial"/>
          <w:b/>
        </w:rPr>
        <w:t xml:space="preserve">Note for </w:t>
      </w:r>
      <w:r w:rsidR="004B5AC1">
        <w:rPr>
          <w:rFonts w:ascii="Arial" w:hAnsi="Arial" w:cs="Arial"/>
          <w:b/>
        </w:rPr>
        <w:t>Staff consultation HR policies</w:t>
      </w:r>
      <w:r w:rsidR="00425523">
        <w:rPr>
          <w:rFonts w:ascii="Arial" w:hAnsi="Arial" w:cs="Arial"/>
          <w:b/>
        </w:rPr>
        <w:t>:  November 2021</w:t>
      </w:r>
    </w:p>
    <w:p w:rsidR="00425523" w:rsidRDefault="00D219D7" w:rsidP="007E3752">
      <w:pPr>
        <w:jc w:val="both"/>
        <w:rPr>
          <w:rFonts w:ascii="Arial" w:hAnsi="Arial" w:cs="Arial"/>
        </w:rPr>
      </w:pPr>
      <w:r>
        <w:rPr>
          <w:rFonts w:ascii="Arial" w:hAnsi="Arial" w:cs="Arial"/>
        </w:rPr>
        <w:t>This note is to explain the</w:t>
      </w:r>
      <w:r w:rsidR="00202962">
        <w:rPr>
          <w:rFonts w:ascii="Arial" w:hAnsi="Arial" w:cs="Arial"/>
        </w:rPr>
        <w:t xml:space="preserve"> purpose </w:t>
      </w:r>
      <w:r w:rsidR="00425523">
        <w:rPr>
          <w:rFonts w:ascii="Arial" w:hAnsi="Arial" w:cs="Arial"/>
        </w:rPr>
        <w:t xml:space="preserve">and context for </w:t>
      </w:r>
      <w:r w:rsidR="00202962">
        <w:rPr>
          <w:rFonts w:ascii="Arial" w:hAnsi="Arial" w:cs="Arial"/>
        </w:rPr>
        <w:t xml:space="preserve">seeking to update the </w:t>
      </w:r>
      <w:r>
        <w:rPr>
          <w:rFonts w:ascii="Arial" w:hAnsi="Arial" w:cs="Arial"/>
        </w:rPr>
        <w:t xml:space="preserve">following HR </w:t>
      </w:r>
      <w:r w:rsidR="00202962">
        <w:rPr>
          <w:rFonts w:ascii="Arial" w:hAnsi="Arial" w:cs="Arial"/>
        </w:rPr>
        <w:t>policies</w:t>
      </w:r>
      <w:r w:rsidR="00425523">
        <w:rPr>
          <w:rFonts w:ascii="Arial" w:hAnsi="Arial" w:cs="Arial"/>
        </w:rPr>
        <w:t>.</w:t>
      </w:r>
      <w:r w:rsidR="00202962">
        <w:rPr>
          <w:rFonts w:ascii="Arial" w:hAnsi="Arial" w:cs="Arial"/>
        </w:rPr>
        <w:t xml:space="preserve"> </w:t>
      </w:r>
    </w:p>
    <w:p w:rsidR="00D219D7" w:rsidRDefault="00D219D7" w:rsidP="007E3752">
      <w:pPr>
        <w:jc w:val="both"/>
        <w:rPr>
          <w:rFonts w:ascii="Arial" w:hAnsi="Arial" w:cs="Arial"/>
        </w:rPr>
      </w:pPr>
      <w:r>
        <w:rPr>
          <w:rFonts w:ascii="Arial" w:hAnsi="Arial" w:cs="Arial"/>
        </w:rPr>
        <w:t xml:space="preserve">You can find all the existing policies on MyHR under Employment Policies &amp; Guidance or by </w:t>
      </w:r>
      <w:hyperlink r:id="rId8" w:history="1">
        <w:r w:rsidRPr="00202962">
          <w:rPr>
            <w:rStyle w:val="Hyperlink"/>
            <w:rFonts w:ascii="Arial" w:hAnsi="Arial" w:cs="Arial"/>
          </w:rPr>
          <w:t>following this link</w:t>
        </w:r>
      </w:hyperlink>
      <w:r>
        <w:rPr>
          <w:rFonts w:ascii="Arial" w:hAnsi="Arial" w:cs="Arial"/>
        </w:rPr>
        <w:t>.</w:t>
      </w:r>
    </w:p>
    <w:p w:rsidR="00202962" w:rsidRDefault="00202962" w:rsidP="007E3752">
      <w:pPr>
        <w:jc w:val="both"/>
        <w:rPr>
          <w:rFonts w:ascii="Arial" w:hAnsi="Arial" w:cs="Arial"/>
        </w:rPr>
      </w:pPr>
      <w:r>
        <w:rPr>
          <w:rFonts w:ascii="Arial" w:hAnsi="Arial" w:cs="Arial"/>
        </w:rPr>
        <w:t>The policies being replaced with this exercise are as follows:</w:t>
      </w:r>
    </w:p>
    <w:tbl>
      <w:tblPr>
        <w:tblStyle w:val="TableGrid"/>
        <w:tblW w:w="0" w:type="auto"/>
        <w:tblLook w:val="04A0" w:firstRow="1" w:lastRow="0" w:firstColumn="1" w:lastColumn="0" w:noHBand="0" w:noVBand="1"/>
      </w:tblPr>
      <w:tblGrid>
        <w:gridCol w:w="4508"/>
        <w:gridCol w:w="4508"/>
      </w:tblGrid>
      <w:tr w:rsidR="00202962" w:rsidTr="00202962">
        <w:tc>
          <w:tcPr>
            <w:tcW w:w="4621" w:type="dxa"/>
          </w:tcPr>
          <w:p w:rsidR="00202962" w:rsidRPr="00202962" w:rsidRDefault="00202962" w:rsidP="007E3752">
            <w:pPr>
              <w:jc w:val="both"/>
              <w:rPr>
                <w:rFonts w:ascii="Arial" w:hAnsi="Arial" w:cs="Arial"/>
                <w:b/>
              </w:rPr>
            </w:pPr>
            <w:r>
              <w:rPr>
                <w:rFonts w:ascii="Arial" w:hAnsi="Arial" w:cs="Arial"/>
                <w:b/>
              </w:rPr>
              <w:t>Existing policy</w:t>
            </w:r>
          </w:p>
        </w:tc>
        <w:tc>
          <w:tcPr>
            <w:tcW w:w="4621" w:type="dxa"/>
          </w:tcPr>
          <w:p w:rsidR="00202962" w:rsidRPr="00202962" w:rsidRDefault="00202962" w:rsidP="007E3752">
            <w:pPr>
              <w:jc w:val="both"/>
              <w:rPr>
                <w:rFonts w:ascii="Arial" w:hAnsi="Arial" w:cs="Arial"/>
                <w:b/>
              </w:rPr>
            </w:pPr>
            <w:r>
              <w:rPr>
                <w:rFonts w:ascii="Arial" w:hAnsi="Arial" w:cs="Arial"/>
                <w:b/>
              </w:rPr>
              <w:t>Proposed replacement</w:t>
            </w:r>
          </w:p>
        </w:tc>
      </w:tr>
      <w:tr w:rsidR="00202962" w:rsidTr="00202962">
        <w:tc>
          <w:tcPr>
            <w:tcW w:w="4621" w:type="dxa"/>
          </w:tcPr>
          <w:p w:rsidR="00202962" w:rsidRDefault="00202962" w:rsidP="007E3752">
            <w:pPr>
              <w:jc w:val="both"/>
              <w:rPr>
                <w:rFonts w:ascii="Arial" w:hAnsi="Arial" w:cs="Arial"/>
              </w:rPr>
            </w:pPr>
            <w:r>
              <w:rPr>
                <w:rFonts w:ascii="Arial" w:hAnsi="Arial" w:cs="Arial"/>
              </w:rPr>
              <w:t xml:space="preserve">Disciplinary Policy </w:t>
            </w:r>
          </w:p>
        </w:tc>
        <w:tc>
          <w:tcPr>
            <w:tcW w:w="4621" w:type="dxa"/>
          </w:tcPr>
          <w:p w:rsidR="00202962" w:rsidRDefault="00202962" w:rsidP="007E3752">
            <w:pPr>
              <w:jc w:val="both"/>
              <w:rPr>
                <w:rFonts w:ascii="Arial" w:hAnsi="Arial" w:cs="Arial"/>
              </w:rPr>
            </w:pPr>
            <w:r>
              <w:rPr>
                <w:rFonts w:ascii="Arial" w:hAnsi="Arial" w:cs="Arial"/>
              </w:rPr>
              <w:t>Disciplinary Policy (amended)</w:t>
            </w:r>
          </w:p>
        </w:tc>
      </w:tr>
      <w:tr w:rsidR="00202962" w:rsidTr="00202962">
        <w:tc>
          <w:tcPr>
            <w:tcW w:w="4621" w:type="dxa"/>
          </w:tcPr>
          <w:p w:rsidR="00202962" w:rsidRDefault="00202962" w:rsidP="007E3752">
            <w:pPr>
              <w:jc w:val="both"/>
              <w:rPr>
                <w:rFonts w:ascii="Arial" w:hAnsi="Arial" w:cs="Arial"/>
              </w:rPr>
            </w:pPr>
            <w:r>
              <w:rPr>
                <w:rFonts w:ascii="Arial" w:hAnsi="Arial" w:cs="Arial"/>
              </w:rPr>
              <w:t xml:space="preserve">Grievance Policy </w:t>
            </w:r>
          </w:p>
        </w:tc>
        <w:tc>
          <w:tcPr>
            <w:tcW w:w="4621" w:type="dxa"/>
          </w:tcPr>
          <w:p w:rsidR="00202962" w:rsidRDefault="00202962" w:rsidP="007E3752">
            <w:pPr>
              <w:jc w:val="both"/>
              <w:rPr>
                <w:rFonts w:ascii="Arial" w:hAnsi="Arial" w:cs="Arial"/>
              </w:rPr>
            </w:pPr>
            <w:r>
              <w:rPr>
                <w:rFonts w:ascii="Arial" w:hAnsi="Arial" w:cs="Arial"/>
              </w:rPr>
              <w:t xml:space="preserve">Grievance Policy (amended) </w:t>
            </w:r>
          </w:p>
        </w:tc>
      </w:tr>
      <w:tr w:rsidR="00202962" w:rsidTr="00202962">
        <w:tc>
          <w:tcPr>
            <w:tcW w:w="4621" w:type="dxa"/>
          </w:tcPr>
          <w:p w:rsidR="00202962" w:rsidRDefault="00202962" w:rsidP="007E3752">
            <w:pPr>
              <w:jc w:val="both"/>
              <w:rPr>
                <w:rFonts w:ascii="Arial" w:hAnsi="Arial" w:cs="Arial"/>
              </w:rPr>
            </w:pPr>
            <w:r>
              <w:rPr>
                <w:rFonts w:ascii="Arial" w:hAnsi="Arial" w:cs="Arial"/>
              </w:rPr>
              <w:t>Absence Management policy</w:t>
            </w:r>
          </w:p>
        </w:tc>
        <w:tc>
          <w:tcPr>
            <w:tcW w:w="4621" w:type="dxa"/>
          </w:tcPr>
          <w:p w:rsidR="00202962" w:rsidRDefault="00202962" w:rsidP="007E3752">
            <w:pPr>
              <w:jc w:val="both"/>
              <w:rPr>
                <w:rFonts w:ascii="Arial" w:hAnsi="Arial" w:cs="Arial"/>
              </w:rPr>
            </w:pPr>
            <w:r>
              <w:rPr>
                <w:rFonts w:ascii="Arial" w:hAnsi="Arial" w:cs="Arial"/>
              </w:rPr>
              <w:t>Sickness Absence Policy</w:t>
            </w:r>
          </w:p>
        </w:tc>
      </w:tr>
      <w:tr w:rsidR="00202962" w:rsidTr="00202962">
        <w:tc>
          <w:tcPr>
            <w:tcW w:w="4621" w:type="dxa"/>
            <w:vMerge w:val="restart"/>
          </w:tcPr>
          <w:p w:rsidR="00202962" w:rsidRDefault="00202962" w:rsidP="007E3752">
            <w:pPr>
              <w:jc w:val="both"/>
              <w:rPr>
                <w:rFonts w:ascii="Arial" w:hAnsi="Arial" w:cs="Arial"/>
              </w:rPr>
            </w:pPr>
            <w:r>
              <w:rPr>
                <w:rFonts w:ascii="Arial" w:hAnsi="Arial" w:cs="Arial"/>
              </w:rPr>
              <w:t xml:space="preserve">Capability policy </w:t>
            </w:r>
          </w:p>
        </w:tc>
        <w:tc>
          <w:tcPr>
            <w:tcW w:w="4621" w:type="dxa"/>
          </w:tcPr>
          <w:p w:rsidR="00202962" w:rsidRDefault="00202962" w:rsidP="007E3752">
            <w:pPr>
              <w:jc w:val="both"/>
              <w:rPr>
                <w:rFonts w:ascii="Arial" w:hAnsi="Arial" w:cs="Arial"/>
              </w:rPr>
            </w:pPr>
            <w:r>
              <w:rPr>
                <w:rFonts w:ascii="Arial" w:hAnsi="Arial" w:cs="Arial"/>
              </w:rPr>
              <w:t>Sickness Capability Policy</w:t>
            </w:r>
          </w:p>
        </w:tc>
      </w:tr>
      <w:tr w:rsidR="00202962" w:rsidTr="00202962">
        <w:tc>
          <w:tcPr>
            <w:tcW w:w="4621" w:type="dxa"/>
            <w:vMerge/>
          </w:tcPr>
          <w:p w:rsidR="00202962" w:rsidRDefault="00202962" w:rsidP="007E3752">
            <w:pPr>
              <w:jc w:val="both"/>
              <w:rPr>
                <w:rFonts w:ascii="Arial" w:hAnsi="Arial" w:cs="Arial"/>
              </w:rPr>
            </w:pPr>
          </w:p>
        </w:tc>
        <w:tc>
          <w:tcPr>
            <w:tcW w:w="4621" w:type="dxa"/>
          </w:tcPr>
          <w:p w:rsidR="00202962" w:rsidRDefault="00202962" w:rsidP="007E3752">
            <w:pPr>
              <w:jc w:val="both"/>
              <w:rPr>
                <w:rFonts w:ascii="Arial" w:hAnsi="Arial" w:cs="Arial"/>
              </w:rPr>
            </w:pPr>
            <w:r>
              <w:rPr>
                <w:rFonts w:ascii="Arial" w:hAnsi="Arial" w:cs="Arial"/>
              </w:rPr>
              <w:t xml:space="preserve">Performance Capability Policy </w:t>
            </w:r>
          </w:p>
        </w:tc>
      </w:tr>
      <w:tr w:rsidR="00202962" w:rsidTr="00202962">
        <w:tc>
          <w:tcPr>
            <w:tcW w:w="4621" w:type="dxa"/>
          </w:tcPr>
          <w:p w:rsidR="00202962" w:rsidRDefault="00202962" w:rsidP="007E3752">
            <w:pPr>
              <w:jc w:val="both"/>
              <w:rPr>
                <w:rFonts w:ascii="Arial" w:hAnsi="Arial" w:cs="Arial"/>
              </w:rPr>
            </w:pPr>
            <w:r>
              <w:rPr>
                <w:rFonts w:ascii="Arial" w:hAnsi="Arial" w:cs="Arial"/>
              </w:rPr>
              <w:t>Appeals policy</w:t>
            </w:r>
          </w:p>
        </w:tc>
        <w:tc>
          <w:tcPr>
            <w:tcW w:w="4621" w:type="dxa"/>
          </w:tcPr>
          <w:p w:rsidR="00202962" w:rsidRDefault="00202962" w:rsidP="007E3752">
            <w:pPr>
              <w:jc w:val="both"/>
              <w:rPr>
                <w:rFonts w:ascii="Arial" w:hAnsi="Arial" w:cs="Arial"/>
              </w:rPr>
            </w:pPr>
            <w:r>
              <w:rPr>
                <w:rFonts w:ascii="Arial" w:hAnsi="Arial" w:cs="Arial"/>
              </w:rPr>
              <w:t xml:space="preserve">To delete (incorporated within replacement policies above) </w:t>
            </w:r>
          </w:p>
        </w:tc>
      </w:tr>
    </w:tbl>
    <w:p w:rsidR="007E3752" w:rsidRDefault="007E3752" w:rsidP="007E3752">
      <w:pPr>
        <w:jc w:val="both"/>
        <w:rPr>
          <w:rFonts w:ascii="Arial" w:hAnsi="Arial" w:cs="Arial"/>
        </w:rPr>
      </w:pPr>
    </w:p>
    <w:p w:rsidR="00425523" w:rsidRDefault="00202962" w:rsidP="007E3752">
      <w:pPr>
        <w:jc w:val="both"/>
        <w:rPr>
          <w:rFonts w:ascii="Arial" w:hAnsi="Arial" w:cs="Arial"/>
        </w:rPr>
      </w:pPr>
      <w:r>
        <w:rPr>
          <w:rFonts w:ascii="Arial" w:hAnsi="Arial" w:cs="Arial"/>
        </w:rPr>
        <w:t>The Disciplinary and Grievance policies</w:t>
      </w:r>
      <w:r w:rsidR="00425523">
        <w:rPr>
          <w:rFonts w:ascii="Arial" w:hAnsi="Arial" w:cs="Arial"/>
        </w:rPr>
        <w:t xml:space="preserve"> will be updated as proposed</w:t>
      </w:r>
      <w:r>
        <w:rPr>
          <w:rFonts w:ascii="Arial" w:hAnsi="Arial" w:cs="Arial"/>
        </w:rPr>
        <w:t xml:space="preserve">.  The Absence Management Policy </w:t>
      </w:r>
      <w:r w:rsidR="00425523">
        <w:rPr>
          <w:rFonts w:ascii="Arial" w:hAnsi="Arial" w:cs="Arial"/>
        </w:rPr>
        <w:t xml:space="preserve">is to </w:t>
      </w:r>
      <w:r>
        <w:rPr>
          <w:rFonts w:ascii="Arial" w:hAnsi="Arial" w:cs="Arial"/>
        </w:rPr>
        <w:t xml:space="preserve">be replaced by a clearer Sickness Absence Policy focussing on all the day to day aspects of managing sick leave.  The existing Capability policy </w:t>
      </w:r>
      <w:r w:rsidR="00425523">
        <w:rPr>
          <w:rFonts w:ascii="Arial" w:hAnsi="Arial" w:cs="Arial"/>
        </w:rPr>
        <w:t xml:space="preserve">will </w:t>
      </w:r>
      <w:r>
        <w:rPr>
          <w:rFonts w:ascii="Arial" w:hAnsi="Arial" w:cs="Arial"/>
        </w:rPr>
        <w:t>then be split into two – one for sickness (</w:t>
      </w:r>
      <w:r w:rsidR="00BE0DCF">
        <w:rPr>
          <w:rFonts w:ascii="Arial" w:hAnsi="Arial" w:cs="Arial"/>
        </w:rPr>
        <w:t xml:space="preserve">containing both informal and </w:t>
      </w:r>
      <w:r>
        <w:rPr>
          <w:rFonts w:ascii="Arial" w:hAnsi="Arial" w:cs="Arial"/>
        </w:rPr>
        <w:t>formal stages</w:t>
      </w:r>
      <w:r w:rsidR="00EF4107">
        <w:rPr>
          <w:rFonts w:ascii="Arial" w:hAnsi="Arial" w:cs="Arial"/>
        </w:rPr>
        <w:t xml:space="preserve"> – these are currently in two policies</w:t>
      </w:r>
      <w:r>
        <w:rPr>
          <w:rFonts w:ascii="Arial" w:hAnsi="Arial" w:cs="Arial"/>
        </w:rPr>
        <w:t xml:space="preserve">) and one for performance (containing both informal and formal stages).  </w:t>
      </w:r>
    </w:p>
    <w:p w:rsidR="00202962" w:rsidRDefault="00202962" w:rsidP="007E3752">
      <w:pPr>
        <w:jc w:val="both"/>
        <w:rPr>
          <w:rFonts w:ascii="Arial" w:hAnsi="Arial" w:cs="Arial"/>
        </w:rPr>
      </w:pPr>
      <w:r>
        <w:rPr>
          <w:rFonts w:ascii="Arial" w:hAnsi="Arial" w:cs="Arial"/>
        </w:rPr>
        <w:t xml:space="preserve">Currently it is confusing to have a policy that incorporates both </w:t>
      </w:r>
      <w:r w:rsidR="00BE0DCF">
        <w:rPr>
          <w:rFonts w:ascii="Arial" w:hAnsi="Arial" w:cs="Arial"/>
        </w:rPr>
        <w:t xml:space="preserve">sickness and performance </w:t>
      </w:r>
      <w:r>
        <w:rPr>
          <w:rFonts w:ascii="Arial" w:hAnsi="Arial" w:cs="Arial"/>
        </w:rPr>
        <w:t>as there are different routes for the start of each process depending on whether sickness is involved in performance concerns.  Additionally, having a generic appeals policy was not helpful, it is better to include in the substantive policy to allow for variation according to the context of the original issue.</w:t>
      </w:r>
    </w:p>
    <w:p w:rsidR="00D219D7" w:rsidRDefault="00D219D7" w:rsidP="007E3752">
      <w:pPr>
        <w:jc w:val="both"/>
        <w:rPr>
          <w:rFonts w:ascii="Arial" w:hAnsi="Arial" w:cs="Arial"/>
        </w:rPr>
      </w:pPr>
      <w:r>
        <w:rPr>
          <w:rFonts w:ascii="Arial" w:hAnsi="Arial" w:cs="Arial"/>
        </w:rPr>
        <w:t xml:space="preserve">Aside from it being good practice to update policies from time to time (every 3-4 years or when there is a requirement to update based on legislative or required procedural changes), the following are the main </w:t>
      </w:r>
      <w:r w:rsidR="00EF4107">
        <w:rPr>
          <w:rFonts w:ascii="Arial" w:hAnsi="Arial" w:cs="Arial"/>
        </w:rPr>
        <w:t>reasons for change:</w:t>
      </w:r>
    </w:p>
    <w:p w:rsidR="00202962" w:rsidRDefault="00D219D7" w:rsidP="007E3752">
      <w:pPr>
        <w:pStyle w:val="ListParagraph"/>
        <w:numPr>
          <w:ilvl w:val="0"/>
          <w:numId w:val="3"/>
        </w:numPr>
        <w:jc w:val="both"/>
        <w:rPr>
          <w:rFonts w:ascii="Arial" w:hAnsi="Arial" w:cs="Arial"/>
        </w:rPr>
      </w:pPr>
      <w:r w:rsidRPr="00D219D7">
        <w:rPr>
          <w:rFonts w:ascii="Arial" w:hAnsi="Arial" w:cs="Arial"/>
        </w:rPr>
        <w:t>Ability to hold meetings by Teams or Zoom in certain circumstances (e.g. when an employee is sick or unab</w:t>
      </w:r>
      <w:r>
        <w:rPr>
          <w:rFonts w:ascii="Arial" w:hAnsi="Arial" w:cs="Arial"/>
        </w:rPr>
        <w:t xml:space="preserve">le to attend an office meeting).  NB in many cases an in-person meeting will be preferable, however this additional option is extremely useful to prevent delays, which can on occasion be </w:t>
      </w:r>
      <w:r w:rsidR="00EF4107">
        <w:rPr>
          <w:rFonts w:ascii="Arial" w:hAnsi="Arial" w:cs="Arial"/>
        </w:rPr>
        <w:t>very protracted.</w:t>
      </w:r>
    </w:p>
    <w:p w:rsidR="00D219D7" w:rsidRDefault="00D219D7" w:rsidP="007E3752">
      <w:pPr>
        <w:pStyle w:val="ListParagraph"/>
        <w:numPr>
          <w:ilvl w:val="0"/>
          <w:numId w:val="3"/>
        </w:numPr>
        <w:jc w:val="both"/>
        <w:rPr>
          <w:rFonts w:ascii="Arial" w:hAnsi="Arial" w:cs="Arial"/>
        </w:rPr>
      </w:pPr>
      <w:r>
        <w:rPr>
          <w:rFonts w:ascii="Arial" w:hAnsi="Arial" w:cs="Arial"/>
        </w:rPr>
        <w:t>Remove requirement for a separate note-taker</w:t>
      </w:r>
      <w:r w:rsidR="00BE0DCF">
        <w:rPr>
          <w:rFonts w:ascii="Arial" w:hAnsi="Arial" w:cs="Arial"/>
        </w:rPr>
        <w:t xml:space="preserve"> at formal hearings</w:t>
      </w:r>
      <w:r>
        <w:rPr>
          <w:rFonts w:ascii="Arial" w:hAnsi="Arial" w:cs="Arial"/>
        </w:rPr>
        <w:t xml:space="preserve">, using tape recorded meetings where expedient to do so.  As above, this reflects the need to move with the times and is far more practical and efficient.  Note taking is extremely onerous and resource intensive, of limited accuracy, prone to challenge, and adds to the number of people in the room during highly confidential meetings.  </w:t>
      </w:r>
    </w:p>
    <w:p w:rsidR="00D219D7" w:rsidRDefault="00D219D7" w:rsidP="007E3752">
      <w:pPr>
        <w:pStyle w:val="ListParagraph"/>
        <w:numPr>
          <w:ilvl w:val="0"/>
          <w:numId w:val="3"/>
        </w:numPr>
        <w:jc w:val="both"/>
        <w:rPr>
          <w:rFonts w:ascii="Arial" w:hAnsi="Arial" w:cs="Arial"/>
        </w:rPr>
      </w:pPr>
      <w:r>
        <w:rPr>
          <w:rFonts w:ascii="Arial" w:hAnsi="Arial" w:cs="Arial"/>
        </w:rPr>
        <w:t xml:space="preserve">Embedding the appeal procedure within the substantive policy – as above.  </w:t>
      </w:r>
    </w:p>
    <w:p w:rsidR="00D219D7" w:rsidRDefault="00D219D7" w:rsidP="007E3752">
      <w:pPr>
        <w:pStyle w:val="ListParagraph"/>
        <w:numPr>
          <w:ilvl w:val="0"/>
          <w:numId w:val="3"/>
        </w:numPr>
        <w:jc w:val="both"/>
        <w:rPr>
          <w:rFonts w:ascii="Arial" w:hAnsi="Arial" w:cs="Arial"/>
        </w:rPr>
      </w:pPr>
      <w:r>
        <w:rPr>
          <w:rFonts w:ascii="Arial" w:hAnsi="Arial" w:cs="Arial"/>
        </w:rPr>
        <w:t>Reducing the need to escalate simple management decisions to a senior level early in the process.  This was particularly preva</w:t>
      </w:r>
      <w:r w:rsidR="00DB2727">
        <w:rPr>
          <w:rFonts w:ascii="Arial" w:hAnsi="Arial" w:cs="Arial"/>
        </w:rPr>
        <w:t xml:space="preserve">lent in capability policies and, as a small organisation, </w:t>
      </w:r>
      <w:r>
        <w:rPr>
          <w:rFonts w:ascii="Arial" w:hAnsi="Arial" w:cs="Arial"/>
        </w:rPr>
        <w:t>caused issues as a</w:t>
      </w:r>
      <w:r w:rsidR="00DB2727">
        <w:rPr>
          <w:rFonts w:ascii="Arial" w:hAnsi="Arial" w:cs="Arial"/>
        </w:rPr>
        <w:t xml:space="preserve"> case progressed, as well as appearing to be </w:t>
      </w:r>
      <w:r w:rsidR="00EF4107">
        <w:rPr>
          <w:rFonts w:ascii="Arial" w:hAnsi="Arial" w:cs="Arial"/>
        </w:rPr>
        <w:t xml:space="preserve">overkill </w:t>
      </w:r>
      <w:r w:rsidR="00DB2727">
        <w:rPr>
          <w:rFonts w:ascii="Arial" w:hAnsi="Arial" w:cs="Arial"/>
        </w:rPr>
        <w:t>for fairly run of the mill, early, formal meetings.</w:t>
      </w:r>
      <w:r w:rsidR="00EF4107">
        <w:rPr>
          <w:rFonts w:ascii="Arial" w:hAnsi="Arial" w:cs="Arial"/>
        </w:rPr>
        <w:t xml:space="preserve"> </w:t>
      </w:r>
      <w:r w:rsidR="00DB2727">
        <w:rPr>
          <w:rFonts w:ascii="Arial" w:hAnsi="Arial" w:cs="Arial"/>
        </w:rPr>
        <w:t>The impact of this can be such that junior managers feel less empowered (and therefore less likely) to take responsibility for performance management.</w:t>
      </w:r>
    </w:p>
    <w:p w:rsidR="00DB2727" w:rsidRDefault="00DB2727" w:rsidP="007E3752">
      <w:pPr>
        <w:pStyle w:val="ListParagraph"/>
        <w:numPr>
          <w:ilvl w:val="0"/>
          <w:numId w:val="3"/>
        </w:numPr>
        <w:jc w:val="both"/>
        <w:rPr>
          <w:rFonts w:ascii="Arial" w:hAnsi="Arial" w:cs="Arial"/>
        </w:rPr>
      </w:pPr>
      <w:r>
        <w:rPr>
          <w:rFonts w:ascii="Arial" w:hAnsi="Arial" w:cs="Arial"/>
        </w:rPr>
        <w:lastRenderedPageBreak/>
        <w:t>Clarifying that the policies can be updated from time to time – this is in line with our direction of travel for some time – there are many provisions in each of these policies and as a modern, responsive, agile organisation we must have the ability to update these without dismissal and re-engagement or issuing new contracts.  (This, of course, does not impact the requirement to have (and follow) a fair procedure</w:t>
      </w:r>
      <w:r w:rsidR="00425523">
        <w:rPr>
          <w:rFonts w:ascii="Arial" w:hAnsi="Arial" w:cs="Arial"/>
        </w:rPr>
        <w:t>).</w:t>
      </w:r>
    </w:p>
    <w:p w:rsidR="00DB2727" w:rsidRDefault="00DB2727" w:rsidP="007E3752">
      <w:pPr>
        <w:pStyle w:val="ListParagraph"/>
        <w:numPr>
          <w:ilvl w:val="0"/>
          <w:numId w:val="3"/>
        </w:numPr>
        <w:jc w:val="both"/>
        <w:rPr>
          <w:rFonts w:ascii="Arial" w:hAnsi="Arial" w:cs="Arial"/>
        </w:rPr>
      </w:pPr>
      <w:r>
        <w:rPr>
          <w:rFonts w:ascii="Arial" w:hAnsi="Arial" w:cs="Arial"/>
        </w:rPr>
        <w:t>Reduce reliance on Occupational Health.  This is in line with our recent budgetary discussions on value for money.  One of the factors increasing costs has been that our policies have stipulated over-prescriptively that OH advice ‘must’ be sought</w:t>
      </w:r>
      <w:r w:rsidR="00BE0DCF">
        <w:rPr>
          <w:rFonts w:ascii="Arial" w:hAnsi="Arial" w:cs="Arial"/>
        </w:rPr>
        <w:t xml:space="preserve"> at several stages within formal processes</w:t>
      </w:r>
      <w:r>
        <w:rPr>
          <w:rFonts w:ascii="Arial" w:hAnsi="Arial" w:cs="Arial"/>
        </w:rPr>
        <w:t xml:space="preserve"> – this is often not necessary and causes delay and additional expense.</w:t>
      </w:r>
    </w:p>
    <w:p w:rsidR="00DB2727" w:rsidRDefault="00DB2727" w:rsidP="007E3752">
      <w:pPr>
        <w:pStyle w:val="ListParagraph"/>
        <w:numPr>
          <w:ilvl w:val="0"/>
          <w:numId w:val="3"/>
        </w:numPr>
        <w:jc w:val="both"/>
        <w:rPr>
          <w:rFonts w:ascii="Arial" w:hAnsi="Arial" w:cs="Arial"/>
        </w:rPr>
      </w:pPr>
      <w:r>
        <w:rPr>
          <w:rFonts w:ascii="Arial" w:hAnsi="Arial" w:cs="Arial"/>
        </w:rPr>
        <w:t>Clarifying that ‘absence’ includes employees who are not working in the office on a particular day if they fail to start work remotely.</w:t>
      </w:r>
    </w:p>
    <w:p w:rsidR="00DB2727" w:rsidRDefault="00DB2727" w:rsidP="007E3752">
      <w:pPr>
        <w:pStyle w:val="ListParagraph"/>
        <w:numPr>
          <w:ilvl w:val="0"/>
          <w:numId w:val="3"/>
        </w:numPr>
        <w:jc w:val="both"/>
        <w:rPr>
          <w:rFonts w:ascii="Arial" w:hAnsi="Arial" w:cs="Arial"/>
        </w:rPr>
      </w:pPr>
      <w:r>
        <w:rPr>
          <w:rFonts w:ascii="Arial" w:hAnsi="Arial" w:cs="Arial"/>
        </w:rPr>
        <w:t xml:space="preserve">Being much clearer on a variety of day to day sickness absence procedures </w:t>
      </w:r>
    </w:p>
    <w:p w:rsidR="00BE0DCF" w:rsidRDefault="00BE0DCF" w:rsidP="007E3752">
      <w:pPr>
        <w:pStyle w:val="ListParagraph"/>
        <w:numPr>
          <w:ilvl w:val="0"/>
          <w:numId w:val="3"/>
        </w:numPr>
        <w:jc w:val="both"/>
        <w:rPr>
          <w:rFonts w:ascii="Arial" w:hAnsi="Arial" w:cs="Arial"/>
        </w:rPr>
      </w:pPr>
      <w:r>
        <w:rPr>
          <w:rFonts w:ascii="Arial" w:hAnsi="Arial" w:cs="Arial"/>
        </w:rPr>
        <w:t xml:space="preserve">Being much clearer on the process for managing capability issues. </w:t>
      </w:r>
      <w:r w:rsidR="00EF4107">
        <w:rPr>
          <w:rFonts w:ascii="Arial" w:hAnsi="Arial" w:cs="Arial"/>
        </w:rPr>
        <w:t>S</w:t>
      </w:r>
      <w:r>
        <w:rPr>
          <w:rFonts w:ascii="Arial" w:hAnsi="Arial" w:cs="Arial"/>
        </w:rPr>
        <w:t>implifying the process and being consistent with the language used ensures managers can easily follow the process, reducing the risk of error and the need to potentially repeat stages where policy has not been followed.</w:t>
      </w:r>
    </w:p>
    <w:p w:rsidR="007E3752" w:rsidRDefault="00425523" w:rsidP="007E3752">
      <w:pPr>
        <w:jc w:val="both"/>
        <w:rPr>
          <w:rFonts w:ascii="Arial" w:hAnsi="Arial" w:cs="Arial"/>
        </w:rPr>
      </w:pPr>
      <w:r>
        <w:rPr>
          <w:rFonts w:ascii="Arial" w:hAnsi="Arial" w:cs="Arial"/>
        </w:rPr>
        <w:t>Timetable for consultation</w:t>
      </w:r>
      <w:r w:rsidR="00F841E8">
        <w:rPr>
          <w:rFonts w:ascii="Arial" w:hAnsi="Arial" w:cs="Arial"/>
        </w:rPr>
        <w:t xml:space="preserve"> – stages in italics have been completed, current stage in red</w:t>
      </w:r>
      <w:r>
        <w:rPr>
          <w:rFonts w:ascii="Arial" w:hAnsi="Arial" w:cs="Arial"/>
        </w:rPr>
        <w:t xml:space="preserve">: </w:t>
      </w:r>
    </w:p>
    <w:p w:rsidR="004E095B" w:rsidRDefault="004E095B" w:rsidP="007E3752">
      <w:pPr>
        <w:jc w:val="both"/>
        <w:rPr>
          <w:rFonts w:ascii="Arial" w:hAnsi="Arial" w:cs="Arial"/>
        </w:rPr>
      </w:pPr>
      <w:r>
        <w:rPr>
          <w:rFonts w:ascii="Arial" w:hAnsi="Arial" w:cs="Arial"/>
        </w:rPr>
        <w:t xml:space="preserve">Please note once the policies are finalised, the accompanying guidance documents will be updated to match the content of the policies. </w:t>
      </w:r>
      <w:bookmarkStart w:id="0" w:name="_GoBack"/>
      <w:bookmarkEnd w:id="0"/>
    </w:p>
    <w:tbl>
      <w:tblPr>
        <w:tblW w:w="921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848"/>
        <w:gridCol w:w="2235"/>
        <w:gridCol w:w="3012"/>
        <w:gridCol w:w="1137"/>
      </w:tblGrid>
      <w:tr w:rsidR="007E3752" w:rsidRPr="00341CB8" w:rsidTr="008B787D">
        <w:trPr>
          <w:trHeight w:val="714"/>
        </w:trPr>
        <w:tc>
          <w:tcPr>
            <w:tcW w:w="978" w:type="dxa"/>
            <w:shd w:val="clear" w:color="auto" w:fill="92CDDC" w:themeFill="accent5" w:themeFillTint="99"/>
          </w:tcPr>
          <w:p w:rsidR="007E3752" w:rsidRPr="00FC5197" w:rsidRDefault="007E3752" w:rsidP="008B787D">
            <w:pPr>
              <w:pStyle w:val="NoSpacing"/>
              <w:rPr>
                <w:b/>
              </w:rPr>
            </w:pPr>
            <w:r w:rsidRPr="00FC5197">
              <w:rPr>
                <w:b/>
              </w:rPr>
              <w:t>Version</w:t>
            </w:r>
          </w:p>
        </w:tc>
        <w:tc>
          <w:tcPr>
            <w:tcW w:w="1848" w:type="dxa"/>
            <w:shd w:val="clear" w:color="auto" w:fill="92CDDC" w:themeFill="accent5" w:themeFillTint="99"/>
          </w:tcPr>
          <w:p w:rsidR="007E3752" w:rsidRPr="00FC5197" w:rsidRDefault="007E3752" w:rsidP="008B787D">
            <w:pPr>
              <w:pStyle w:val="NoSpacing"/>
              <w:rPr>
                <w:b/>
              </w:rPr>
            </w:pPr>
            <w:r w:rsidRPr="00FC5197">
              <w:rPr>
                <w:b/>
              </w:rPr>
              <w:t xml:space="preserve">Version Status </w:t>
            </w:r>
          </w:p>
          <w:p w:rsidR="007E3752" w:rsidRPr="00FC5197" w:rsidRDefault="007E3752" w:rsidP="008B787D">
            <w:pPr>
              <w:pStyle w:val="NoSpacing"/>
              <w:rPr>
                <w:b/>
                <w:i/>
              </w:rPr>
            </w:pPr>
            <w:r w:rsidRPr="00FC5197">
              <w:rPr>
                <w:b/>
                <w:i/>
              </w:rPr>
              <w:t>(Draft, Approved /Published Internally or Externally)</w:t>
            </w:r>
          </w:p>
        </w:tc>
        <w:tc>
          <w:tcPr>
            <w:tcW w:w="2235" w:type="dxa"/>
            <w:shd w:val="clear" w:color="auto" w:fill="92CDDC" w:themeFill="accent5" w:themeFillTint="99"/>
          </w:tcPr>
          <w:p w:rsidR="007E3752" w:rsidRPr="00FC5197" w:rsidRDefault="007E3752" w:rsidP="008B787D">
            <w:pPr>
              <w:pStyle w:val="NoSpacing"/>
              <w:rPr>
                <w:b/>
              </w:rPr>
            </w:pPr>
            <w:r w:rsidRPr="00FC5197">
              <w:rPr>
                <w:b/>
              </w:rPr>
              <w:t>Date</w:t>
            </w:r>
          </w:p>
        </w:tc>
        <w:tc>
          <w:tcPr>
            <w:tcW w:w="3012" w:type="dxa"/>
            <w:shd w:val="clear" w:color="auto" w:fill="92CDDC" w:themeFill="accent5" w:themeFillTint="99"/>
          </w:tcPr>
          <w:p w:rsidR="007E3752" w:rsidRPr="00FC5197" w:rsidRDefault="007E3752" w:rsidP="008B787D">
            <w:pPr>
              <w:pStyle w:val="NoSpacing"/>
              <w:rPr>
                <w:b/>
              </w:rPr>
            </w:pPr>
            <w:r w:rsidRPr="00FC5197">
              <w:rPr>
                <w:b/>
              </w:rPr>
              <w:t xml:space="preserve">Version Comment </w:t>
            </w:r>
          </w:p>
        </w:tc>
        <w:tc>
          <w:tcPr>
            <w:tcW w:w="1137" w:type="dxa"/>
            <w:shd w:val="clear" w:color="auto" w:fill="92CDDC" w:themeFill="accent5" w:themeFillTint="99"/>
          </w:tcPr>
          <w:p w:rsidR="007E3752" w:rsidRPr="00FC5197" w:rsidRDefault="007E3752" w:rsidP="008B787D">
            <w:pPr>
              <w:pStyle w:val="NoSpacing"/>
              <w:rPr>
                <w:b/>
              </w:rPr>
            </w:pPr>
            <w:r w:rsidRPr="00FC5197">
              <w:rPr>
                <w:b/>
              </w:rPr>
              <w:t>Version Author</w:t>
            </w:r>
          </w:p>
        </w:tc>
      </w:tr>
      <w:tr w:rsidR="007E3752" w:rsidTr="008B787D">
        <w:trPr>
          <w:trHeight w:val="279"/>
        </w:trPr>
        <w:tc>
          <w:tcPr>
            <w:tcW w:w="978" w:type="dxa"/>
            <w:shd w:val="clear" w:color="auto" w:fill="auto"/>
          </w:tcPr>
          <w:p w:rsidR="007E3752" w:rsidRPr="00425523" w:rsidRDefault="007E3752" w:rsidP="008B787D">
            <w:pPr>
              <w:pStyle w:val="NoSpacing"/>
              <w:rPr>
                <w:rFonts w:cs="Calibri"/>
                <w:i/>
              </w:rPr>
            </w:pPr>
            <w:r w:rsidRPr="00425523">
              <w:rPr>
                <w:rFonts w:cs="Calibri"/>
                <w:i/>
              </w:rPr>
              <w:t>V1.1</w:t>
            </w:r>
          </w:p>
          <w:p w:rsidR="007E3752" w:rsidRPr="00425523" w:rsidRDefault="007E3752" w:rsidP="008B787D">
            <w:pPr>
              <w:pStyle w:val="NoSpacing"/>
              <w:rPr>
                <w:i/>
              </w:rPr>
            </w:pPr>
          </w:p>
        </w:tc>
        <w:tc>
          <w:tcPr>
            <w:tcW w:w="1848" w:type="dxa"/>
            <w:shd w:val="clear" w:color="auto" w:fill="auto"/>
          </w:tcPr>
          <w:p w:rsidR="007E3752" w:rsidRPr="00425523" w:rsidRDefault="007E3752" w:rsidP="008B787D">
            <w:pPr>
              <w:pStyle w:val="NoSpacing"/>
              <w:rPr>
                <w:rFonts w:cs="Calibri"/>
                <w:i/>
              </w:rPr>
            </w:pPr>
            <w:r w:rsidRPr="00425523">
              <w:rPr>
                <w:rFonts w:cs="Calibri"/>
                <w:i/>
              </w:rPr>
              <w:t>Final SLT draft</w:t>
            </w:r>
          </w:p>
          <w:p w:rsidR="007E3752" w:rsidRPr="00425523" w:rsidRDefault="007E3752" w:rsidP="008B787D">
            <w:pPr>
              <w:pStyle w:val="NoSpacing"/>
              <w:rPr>
                <w:i/>
              </w:rPr>
            </w:pPr>
          </w:p>
        </w:tc>
        <w:tc>
          <w:tcPr>
            <w:tcW w:w="2235" w:type="dxa"/>
            <w:shd w:val="clear" w:color="auto" w:fill="auto"/>
          </w:tcPr>
          <w:p w:rsidR="007E3752" w:rsidRPr="00425523" w:rsidRDefault="00190D20" w:rsidP="008B787D">
            <w:pPr>
              <w:pStyle w:val="NoSpacing"/>
              <w:rPr>
                <w:rFonts w:cs="Calibri"/>
                <w:i/>
              </w:rPr>
            </w:pPr>
            <w:r w:rsidRPr="00425523">
              <w:rPr>
                <w:rFonts w:cs="Calibri"/>
                <w:i/>
              </w:rPr>
              <w:t>SLT meeting 7/10/21</w:t>
            </w:r>
          </w:p>
          <w:p w:rsidR="007E3752" w:rsidRPr="00425523" w:rsidRDefault="007E3752" w:rsidP="008B787D">
            <w:pPr>
              <w:pStyle w:val="NoSpacing"/>
              <w:rPr>
                <w:i/>
              </w:rPr>
            </w:pPr>
          </w:p>
        </w:tc>
        <w:tc>
          <w:tcPr>
            <w:tcW w:w="3012" w:type="dxa"/>
            <w:shd w:val="clear" w:color="auto" w:fill="auto"/>
          </w:tcPr>
          <w:p w:rsidR="007E3752" w:rsidRPr="00425523" w:rsidRDefault="007E3752" w:rsidP="00190D20">
            <w:pPr>
              <w:pStyle w:val="NoSpacing"/>
              <w:rPr>
                <w:rFonts w:cs="Calibri"/>
                <w:i/>
              </w:rPr>
            </w:pPr>
            <w:r w:rsidRPr="00425523">
              <w:rPr>
                <w:i/>
              </w:rPr>
              <w:t>For SLT approval for document to be shared with Business Managers and Staff Hub</w:t>
            </w:r>
            <w:r w:rsidR="00190D20" w:rsidRPr="00425523">
              <w:rPr>
                <w:i/>
              </w:rPr>
              <w:t>.  SLT given 2 weeks to review and consider</w:t>
            </w:r>
          </w:p>
        </w:tc>
        <w:tc>
          <w:tcPr>
            <w:tcW w:w="1137" w:type="dxa"/>
            <w:shd w:val="clear" w:color="auto" w:fill="auto"/>
          </w:tcPr>
          <w:p w:rsidR="007E3752" w:rsidRPr="00425523" w:rsidRDefault="007E3752" w:rsidP="008B787D">
            <w:pPr>
              <w:pStyle w:val="NoSpacing"/>
              <w:rPr>
                <w:rFonts w:cs="Calibri"/>
                <w:i/>
              </w:rPr>
            </w:pPr>
            <w:r w:rsidRPr="00425523">
              <w:rPr>
                <w:rFonts w:cs="Calibri"/>
                <w:i/>
              </w:rPr>
              <w:t>KI</w:t>
            </w:r>
          </w:p>
        </w:tc>
      </w:tr>
      <w:tr w:rsidR="007E3752" w:rsidTr="008B787D">
        <w:trPr>
          <w:trHeight w:val="279"/>
        </w:trPr>
        <w:tc>
          <w:tcPr>
            <w:tcW w:w="978" w:type="dxa"/>
            <w:shd w:val="clear" w:color="auto" w:fill="auto"/>
          </w:tcPr>
          <w:p w:rsidR="007E3752" w:rsidRPr="00425523" w:rsidRDefault="007E3752" w:rsidP="008B787D">
            <w:pPr>
              <w:pStyle w:val="NoSpacing"/>
              <w:rPr>
                <w:rFonts w:cs="Calibri"/>
                <w:i/>
                <w:color w:val="FF0000"/>
              </w:rPr>
            </w:pPr>
            <w:r w:rsidRPr="00425523">
              <w:rPr>
                <w:i/>
              </w:rPr>
              <w:t>V1.2</w:t>
            </w:r>
          </w:p>
        </w:tc>
        <w:tc>
          <w:tcPr>
            <w:tcW w:w="1848" w:type="dxa"/>
            <w:shd w:val="clear" w:color="auto" w:fill="auto"/>
          </w:tcPr>
          <w:p w:rsidR="007E3752" w:rsidRPr="00425523" w:rsidRDefault="007E3752" w:rsidP="008B787D">
            <w:pPr>
              <w:pStyle w:val="NoSpacing"/>
              <w:rPr>
                <w:rFonts w:cs="Calibri"/>
                <w:i/>
                <w:color w:val="FF0000"/>
              </w:rPr>
            </w:pPr>
            <w:r w:rsidRPr="00425523">
              <w:rPr>
                <w:i/>
              </w:rPr>
              <w:t>SLT amends</w:t>
            </w:r>
            <w:r w:rsidR="00190D20" w:rsidRPr="00425523">
              <w:rPr>
                <w:i/>
              </w:rPr>
              <w:t xml:space="preserve"> discussed and agreed</w:t>
            </w:r>
          </w:p>
        </w:tc>
        <w:tc>
          <w:tcPr>
            <w:tcW w:w="2235" w:type="dxa"/>
            <w:shd w:val="clear" w:color="auto" w:fill="auto"/>
          </w:tcPr>
          <w:p w:rsidR="007E3752" w:rsidRPr="00425523" w:rsidRDefault="00190D20" w:rsidP="008B787D">
            <w:pPr>
              <w:pStyle w:val="NoSpacing"/>
              <w:rPr>
                <w:i/>
              </w:rPr>
            </w:pPr>
            <w:r w:rsidRPr="00425523">
              <w:rPr>
                <w:i/>
              </w:rPr>
              <w:t>SLT meeting 21/10/21</w:t>
            </w:r>
          </w:p>
          <w:p w:rsidR="007E3752" w:rsidRPr="00425523" w:rsidRDefault="007E3752" w:rsidP="008B787D">
            <w:pPr>
              <w:pStyle w:val="NoSpacing"/>
              <w:rPr>
                <w:rFonts w:cs="Calibri"/>
                <w:i/>
                <w:color w:val="FF0000"/>
              </w:rPr>
            </w:pPr>
          </w:p>
        </w:tc>
        <w:tc>
          <w:tcPr>
            <w:tcW w:w="3012" w:type="dxa"/>
            <w:shd w:val="clear" w:color="auto" w:fill="auto"/>
          </w:tcPr>
          <w:p w:rsidR="007E3752" w:rsidRPr="00425523" w:rsidRDefault="007E3752" w:rsidP="00FE7340">
            <w:pPr>
              <w:pStyle w:val="NoSpacing"/>
              <w:rPr>
                <w:i/>
              </w:rPr>
            </w:pPr>
            <w:r w:rsidRPr="00425523">
              <w:rPr>
                <w:i/>
              </w:rPr>
              <w:t xml:space="preserve">Final SLT approved draft for </w:t>
            </w:r>
            <w:r w:rsidR="00190D20" w:rsidRPr="00425523">
              <w:rPr>
                <w:i/>
              </w:rPr>
              <w:t xml:space="preserve">BMT, Staff Hub </w:t>
            </w:r>
            <w:r w:rsidRPr="00425523">
              <w:rPr>
                <w:i/>
              </w:rPr>
              <w:t>consultation</w:t>
            </w:r>
            <w:r w:rsidR="00190D20" w:rsidRPr="00425523">
              <w:rPr>
                <w:i/>
              </w:rPr>
              <w:t xml:space="preserve"> </w:t>
            </w:r>
            <w:r w:rsidR="00FE7340" w:rsidRPr="00425523">
              <w:rPr>
                <w:i/>
              </w:rPr>
              <w:br/>
              <w:t>(2 weeks – 25/10/21 until Monday 8/11/21 10.00 am)</w:t>
            </w:r>
          </w:p>
        </w:tc>
        <w:tc>
          <w:tcPr>
            <w:tcW w:w="1137" w:type="dxa"/>
            <w:shd w:val="clear" w:color="auto" w:fill="auto"/>
          </w:tcPr>
          <w:p w:rsidR="007E3752" w:rsidRPr="00425523" w:rsidRDefault="007E3752" w:rsidP="008B787D">
            <w:pPr>
              <w:pStyle w:val="NoSpacing"/>
              <w:rPr>
                <w:i/>
              </w:rPr>
            </w:pPr>
            <w:r w:rsidRPr="00425523">
              <w:rPr>
                <w:i/>
              </w:rPr>
              <w:t>KI</w:t>
            </w:r>
          </w:p>
        </w:tc>
      </w:tr>
      <w:tr w:rsidR="007E3752" w:rsidTr="008B787D">
        <w:trPr>
          <w:trHeight w:val="279"/>
        </w:trPr>
        <w:tc>
          <w:tcPr>
            <w:tcW w:w="978" w:type="dxa"/>
            <w:shd w:val="clear" w:color="auto" w:fill="auto"/>
          </w:tcPr>
          <w:p w:rsidR="007E3752" w:rsidRPr="00425523" w:rsidRDefault="007E3752" w:rsidP="008B787D">
            <w:pPr>
              <w:pStyle w:val="NoSpacing"/>
              <w:rPr>
                <w:i/>
              </w:rPr>
            </w:pPr>
            <w:r w:rsidRPr="00425523">
              <w:rPr>
                <w:i/>
              </w:rPr>
              <w:t>V1.3</w:t>
            </w:r>
          </w:p>
        </w:tc>
        <w:tc>
          <w:tcPr>
            <w:tcW w:w="1848" w:type="dxa"/>
            <w:shd w:val="clear" w:color="auto" w:fill="auto"/>
          </w:tcPr>
          <w:p w:rsidR="007E3752" w:rsidRPr="00425523" w:rsidRDefault="007E3752" w:rsidP="00190D20">
            <w:pPr>
              <w:pStyle w:val="NoSpacing"/>
              <w:rPr>
                <w:i/>
              </w:rPr>
            </w:pPr>
            <w:r w:rsidRPr="00425523">
              <w:rPr>
                <w:i/>
              </w:rPr>
              <w:t xml:space="preserve">Amends </w:t>
            </w:r>
            <w:r w:rsidR="00190D20" w:rsidRPr="00425523">
              <w:rPr>
                <w:i/>
              </w:rPr>
              <w:t xml:space="preserve">discussed and agreed </w:t>
            </w:r>
            <w:r w:rsidRPr="00425523">
              <w:rPr>
                <w:i/>
              </w:rPr>
              <w:t xml:space="preserve">post </w:t>
            </w:r>
            <w:r w:rsidR="00190D20" w:rsidRPr="00425523">
              <w:rPr>
                <w:i/>
              </w:rPr>
              <w:t xml:space="preserve">Hub/BMT </w:t>
            </w:r>
            <w:r w:rsidRPr="00425523">
              <w:rPr>
                <w:i/>
              </w:rPr>
              <w:t xml:space="preserve">consultation </w:t>
            </w:r>
          </w:p>
        </w:tc>
        <w:tc>
          <w:tcPr>
            <w:tcW w:w="2235" w:type="dxa"/>
            <w:shd w:val="clear" w:color="auto" w:fill="auto"/>
          </w:tcPr>
          <w:p w:rsidR="00190D20" w:rsidRPr="00425523" w:rsidRDefault="00190D20" w:rsidP="00190D20">
            <w:pPr>
              <w:pStyle w:val="NoSpacing"/>
              <w:rPr>
                <w:i/>
              </w:rPr>
            </w:pPr>
            <w:r w:rsidRPr="00425523">
              <w:rPr>
                <w:i/>
              </w:rPr>
              <w:t xml:space="preserve">SLT meeting </w:t>
            </w:r>
            <w:r w:rsidR="00FE7340" w:rsidRPr="00425523">
              <w:rPr>
                <w:i/>
              </w:rPr>
              <w:t>11</w:t>
            </w:r>
            <w:r w:rsidRPr="00425523">
              <w:rPr>
                <w:i/>
              </w:rPr>
              <w:t>/11/21</w:t>
            </w:r>
          </w:p>
          <w:p w:rsidR="007E3752" w:rsidRPr="00425523" w:rsidRDefault="007E3752" w:rsidP="00190D20">
            <w:pPr>
              <w:pStyle w:val="NoSpacing"/>
              <w:rPr>
                <w:i/>
              </w:rPr>
            </w:pPr>
          </w:p>
        </w:tc>
        <w:tc>
          <w:tcPr>
            <w:tcW w:w="3012" w:type="dxa"/>
            <w:shd w:val="clear" w:color="auto" w:fill="auto"/>
          </w:tcPr>
          <w:p w:rsidR="007E3752" w:rsidRPr="00425523" w:rsidRDefault="00190D20" w:rsidP="00190D20">
            <w:pPr>
              <w:pStyle w:val="NoSpacing"/>
              <w:rPr>
                <w:i/>
              </w:rPr>
            </w:pPr>
            <w:r w:rsidRPr="00425523">
              <w:rPr>
                <w:i/>
              </w:rPr>
              <w:t>Agreed a</w:t>
            </w:r>
            <w:r w:rsidR="007E3752" w:rsidRPr="00425523">
              <w:rPr>
                <w:i/>
              </w:rPr>
              <w:t xml:space="preserve">mendments following consultation </w:t>
            </w:r>
          </w:p>
        </w:tc>
        <w:tc>
          <w:tcPr>
            <w:tcW w:w="1137" w:type="dxa"/>
            <w:shd w:val="clear" w:color="auto" w:fill="auto"/>
          </w:tcPr>
          <w:p w:rsidR="007E3752" w:rsidRPr="00425523" w:rsidRDefault="007E3752" w:rsidP="008B787D">
            <w:pPr>
              <w:pStyle w:val="NoSpacing"/>
              <w:rPr>
                <w:i/>
              </w:rPr>
            </w:pPr>
            <w:r w:rsidRPr="00425523">
              <w:rPr>
                <w:i/>
              </w:rPr>
              <w:t xml:space="preserve">KI </w:t>
            </w:r>
          </w:p>
        </w:tc>
      </w:tr>
      <w:tr w:rsidR="007E3752" w:rsidTr="008B787D">
        <w:trPr>
          <w:trHeight w:val="279"/>
        </w:trPr>
        <w:tc>
          <w:tcPr>
            <w:tcW w:w="978" w:type="dxa"/>
            <w:shd w:val="clear" w:color="auto" w:fill="auto"/>
          </w:tcPr>
          <w:p w:rsidR="007E3752" w:rsidRPr="00425523" w:rsidRDefault="007E3752" w:rsidP="008B787D">
            <w:pPr>
              <w:pStyle w:val="NoSpacing"/>
              <w:rPr>
                <w:color w:val="FF0000"/>
              </w:rPr>
            </w:pPr>
            <w:r w:rsidRPr="00425523">
              <w:rPr>
                <w:color w:val="FF0000"/>
              </w:rPr>
              <w:t>V2</w:t>
            </w:r>
          </w:p>
        </w:tc>
        <w:tc>
          <w:tcPr>
            <w:tcW w:w="1848" w:type="dxa"/>
            <w:shd w:val="clear" w:color="auto" w:fill="auto"/>
          </w:tcPr>
          <w:p w:rsidR="007E3752" w:rsidRPr="00425523" w:rsidRDefault="007E3752" w:rsidP="008B787D">
            <w:pPr>
              <w:pStyle w:val="NoSpacing"/>
              <w:rPr>
                <w:color w:val="FF0000"/>
              </w:rPr>
            </w:pPr>
            <w:r w:rsidRPr="00425523">
              <w:rPr>
                <w:color w:val="FF0000"/>
              </w:rPr>
              <w:t>Proposed Policy for all staff consultation</w:t>
            </w:r>
          </w:p>
        </w:tc>
        <w:tc>
          <w:tcPr>
            <w:tcW w:w="2235" w:type="dxa"/>
            <w:shd w:val="clear" w:color="auto" w:fill="auto"/>
          </w:tcPr>
          <w:p w:rsidR="007E3752" w:rsidRPr="00425523" w:rsidRDefault="007E3752" w:rsidP="00FE7340">
            <w:pPr>
              <w:pStyle w:val="NoSpacing"/>
              <w:rPr>
                <w:color w:val="FF0000"/>
              </w:rPr>
            </w:pPr>
            <w:r w:rsidRPr="00425523">
              <w:rPr>
                <w:color w:val="FF0000"/>
              </w:rPr>
              <w:t xml:space="preserve">Week comm </w:t>
            </w:r>
            <w:r w:rsidR="00FE7340" w:rsidRPr="00425523">
              <w:rPr>
                <w:color w:val="FF0000"/>
              </w:rPr>
              <w:t>15</w:t>
            </w:r>
            <w:r w:rsidR="00190D20" w:rsidRPr="00425523">
              <w:rPr>
                <w:color w:val="FF0000"/>
              </w:rPr>
              <w:t>/11</w:t>
            </w:r>
            <w:r w:rsidRPr="00425523">
              <w:rPr>
                <w:color w:val="FF0000"/>
              </w:rPr>
              <w:t>/21</w:t>
            </w:r>
          </w:p>
        </w:tc>
        <w:tc>
          <w:tcPr>
            <w:tcW w:w="3012" w:type="dxa"/>
            <w:shd w:val="clear" w:color="auto" w:fill="auto"/>
          </w:tcPr>
          <w:p w:rsidR="007E3752" w:rsidRPr="00425523" w:rsidRDefault="007E3752" w:rsidP="008B787D">
            <w:pPr>
              <w:pStyle w:val="NoSpacing"/>
              <w:rPr>
                <w:color w:val="FF0000"/>
              </w:rPr>
            </w:pPr>
            <w:r w:rsidRPr="00425523">
              <w:rPr>
                <w:color w:val="FF0000"/>
              </w:rPr>
              <w:t>Policies out for all staff consultation</w:t>
            </w:r>
            <w:r w:rsidR="00190D20" w:rsidRPr="00425523">
              <w:rPr>
                <w:color w:val="FF0000"/>
              </w:rPr>
              <w:t xml:space="preserve"> (2 weeks) </w:t>
            </w:r>
          </w:p>
          <w:p w:rsidR="007E3752" w:rsidRPr="00425523" w:rsidRDefault="007E3752" w:rsidP="008B787D">
            <w:pPr>
              <w:pStyle w:val="NoSpacing"/>
              <w:rPr>
                <w:color w:val="FF0000"/>
              </w:rPr>
            </w:pPr>
          </w:p>
        </w:tc>
        <w:tc>
          <w:tcPr>
            <w:tcW w:w="1137" w:type="dxa"/>
            <w:shd w:val="clear" w:color="auto" w:fill="auto"/>
          </w:tcPr>
          <w:p w:rsidR="007E3752" w:rsidRPr="00425523" w:rsidRDefault="007E3752" w:rsidP="008B787D">
            <w:pPr>
              <w:pStyle w:val="NoSpacing"/>
              <w:rPr>
                <w:color w:val="FF0000"/>
              </w:rPr>
            </w:pPr>
            <w:r w:rsidRPr="00425523">
              <w:rPr>
                <w:color w:val="FF0000"/>
              </w:rPr>
              <w:t>KI</w:t>
            </w:r>
          </w:p>
        </w:tc>
      </w:tr>
      <w:tr w:rsidR="007E3752" w:rsidTr="008B787D">
        <w:trPr>
          <w:trHeight w:val="279"/>
        </w:trPr>
        <w:tc>
          <w:tcPr>
            <w:tcW w:w="978" w:type="dxa"/>
            <w:shd w:val="clear" w:color="auto" w:fill="auto"/>
          </w:tcPr>
          <w:p w:rsidR="007E3752" w:rsidRDefault="007E3752" w:rsidP="008B787D">
            <w:pPr>
              <w:pStyle w:val="NoSpacing"/>
            </w:pPr>
            <w:r>
              <w:lastRenderedPageBreak/>
              <w:t xml:space="preserve">V2.1 </w:t>
            </w:r>
          </w:p>
        </w:tc>
        <w:tc>
          <w:tcPr>
            <w:tcW w:w="1848" w:type="dxa"/>
            <w:shd w:val="clear" w:color="auto" w:fill="auto"/>
          </w:tcPr>
          <w:p w:rsidR="007E3752" w:rsidRDefault="007E3752" w:rsidP="00425523">
            <w:pPr>
              <w:pStyle w:val="NoSpacing"/>
            </w:pPr>
            <w:r>
              <w:t xml:space="preserve">Amends made post </w:t>
            </w:r>
          </w:p>
        </w:tc>
        <w:tc>
          <w:tcPr>
            <w:tcW w:w="2235" w:type="dxa"/>
            <w:shd w:val="clear" w:color="auto" w:fill="auto"/>
          </w:tcPr>
          <w:p w:rsidR="007E3752" w:rsidRDefault="00190D20" w:rsidP="00FE7340">
            <w:pPr>
              <w:pStyle w:val="NoSpacing"/>
            </w:pPr>
            <w:r>
              <w:t xml:space="preserve">SLT meeting </w:t>
            </w:r>
            <w:r w:rsidR="00FE7340">
              <w:t xml:space="preserve"> 2/12/21</w:t>
            </w:r>
          </w:p>
        </w:tc>
        <w:tc>
          <w:tcPr>
            <w:tcW w:w="3012" w:type="dxa"/>
            <w:shd w:val="clear" w:color="auto" w:fill="auto"/>
          </w:tcPr>
          <w:p w:rsidR="007E3752" w:rsidRDefault="007E3752" w:rsidP="008B787D">
            <w:pPr>
              <w:pStyle w:val="NoSpacing"/>
            </w:pPr>
            <w:r>
              <w:t>Proposed amendments following consultation for SLT discussion and approval</w:t>
            </w:r>
          </w:p>
        </w:tc>
        <w:tc>
          <w:tcPr>
            <w:tcW w:w="1137" w:type="dxa"/>
            <w:shd w:val="clear" w:color="auto" w:fill="auto"/>
          </w:tcPr>
          <w:p w:rsidR="007E3752" w:rsidRDefault="007E3752" w:rsidP="008B787D">
            <w:pPr>
              <w:pStyle w:val="NoSpacing"/>
            </w:pPr>
            <w:r>
              <w:t xml:space="preserve">KI </w:t>
            </w:r>
          </w:p>
        </w:tc>
      </w:tr>
      <w:tr w:rsidR="007E3752" w:rsidTr="008B787D">
        <w:trPr>
          <w:trHeight w:val="279"/>
        </w:trPr>
        <w:tc>
          <w:tcPr>
            <w:tcW w:w="978" w:type="dxa"/>
            <w:tcBorders>
              <w:top w:val="single" w:sz="4" w:space="0" w:color="auto"/>
              <w:left w:val="single" w:sz="4" w:space="0" w:color="auto"/>
              <w:bottom w:val="single" w:sz="4" w:space="0" w:color="auto"/>
              <w:right w:val="single" w:sz="4" w:space="0" w:color="auto"/>
            </w:tcBorders>
            <w:shd w:val="clear" w:color="auto" w:fill="auto"/>
          </w:tcPr>
          <w:p w:rsidR="007E3752" w:rsidRDefault="007E3752" w:rsidP="008B787D">
            <w:pPr>
              <w:pStyle w:val="NoSpacing"/>
            </w:pPr>
            <w:r>
              <w:t>V3</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7E3752" w:rsidRDefault="007E3752" w:rsidP="008B787D">
            <w:pPr>
              <w:pStyle w:val="NoSpacing"/>
            </w:pPr>
            <w:r>
              <w:t>FINAL</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7E3752" w:rsidRDefault="007E3752" w:rsidP="00FE7340">
            <w:pPr>
              <w:pStyle w:val="NoSpacing"/>
            </w:pPr>
            <w:r>
              <w:t xml:space="preserve">Week comm </w:t>
            </w:r>
            <w:r w:rsidR="00FE7340">
              <w:t>6/12/21</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7E3752" w:rsidRDefault="007E3752" w:rsidP="008B787D">
            <w:pPr>
              <w:pStyle w:val="NoSpacing"/>
            </w:pPr>
            <w:r>
              <w:t xml:space="preserve">Policy finalised for publication and implementation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3752" w:rsidRDefault="007E3752" w:rsidP="008B787D">
            <w:pPr>
              <w:pStyle w:val="NoSpacing"/>
            </w:pPr>
            <w:r>
              <w:t xml:space="preserve">KI </w:t>
            </w:r>
          </w:p>
        </w:tc>
      </w:tr>
      <w:tr w:rsidR="007E3752" w:rsidTr="008B787D">
        <w:trPr>
          <w:trHeight w:val="279"/>
        </w:trPr>
        <w:tc>
          <w:tcPr>
            <w:tcW w:w="978" w:type="dxa"/>
            <w:tcBorders>
              <w:top w:val="single" w:sz="4" w:space="0" w:color="auto"/>
              <w:left w:val="single" w:sz="4" w:space="0" w:color="auto"/>
              <w:bottom w:val="single" w:sz="4" w:space="0" w:color="auto"/>
              <w:right w:val="single" w:sz="4" w:space="0" w:color="auto"/>
            </w:tcBorders>
            <w:shd w:val="clear" w:color="auto" w:fill="auto"/>
          </w:tcPr>
          <w:p w:rsidR="007E3752" w:rsidRPr="002838C2" w:rsidRDefault="007E3752" w:rsidP="008B787D">
            <w:pPr>
              <w:pStyle w:val="NoSpacing"/>
            </w:pPr>
            <w:r w:rsidRPr="002838C2">
              <w:t>V4</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7E3752" w:rsidRPr="002838C2" w:rsidRDefault="007E3752" w:rsidP="008B787D">
            <w:pPr>
              <w:pStyle w:val="NoSpacing"/>
            </w:pPr>
            <w:r w:rsidRPr="002838C2">
              <w:t>Review</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7E3752" w:rsidRPr="002838C2" w:rsidRDefault="007E3752" w:rsidP="008B787D">
            <w:pPr>
              <w:pStyle w:val="NoSpacing"/>
            </w:pPr>
            <w:r w:rsidRPr="002838C2">
              <w:t xml:space="preserve">2024 </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7E3752" w:rsidRPr="002838C2" w:rsidRDefault="007E3752" w:rsidP="008B787D">
            <w:pPr>
              <w:pStyle w:val="NoSpacing"/>
            </w:pPr>
            <w:r w:rsidRPr="002838C2">
              <w:t>Policies to be reviewed at least every 3 years or in the event interim changes are needed (e.g. changes in legislation, work practices).</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3752" w:rsidRPr="002838C2" w:rsidRDefault="007E3752" w:rsidP="008B787D">
            <w:pPr>
              <w:pStyle w:val="NoSpacing"/>
            </w:pPr>
            <w:r w:rsidRPr="002838C2">
              <w:t>KI</w:t>
            </w:r>
          </w:p>
        </w:tc>
      </w:tr>
    </w:tbl>
    <w:p w:rsidR="00EF4107" w:rsidRDefault="00EF4107">
      <w:pPr>
        <w:rPr>
          <w:rFonts w:ascii="Arial" w:hAnsi="Arial" w:cs="Arial"/>
          <w:b/>
        </w:rPr>
      </w:pPr>
      <w:bookmarkStart w:id="1" w:name="One"/>
    </w:p>
    <w:bookmarkEnd w:id="1"/>
    <w:sectPr w:rsidR="00EF41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DAC" w:rsidRDefault="00A07DAC" w:rsidP="00A07DAC">
      <w:pPr>
        <w:spacing w:after="0" w:line="240" w:lineRule="auto"/>
      </w:pPr>
      <w:r>
        <w:separator/>
      </w:r>
    </w:p>
  </w:endnote>
  <w:endnote w:type="continuationSeparator" w:id="0">
    <w:p w:rsidR="00A07DAC" w:rsidRDefault="00A07DAC" w:rsidP="00A0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DAC" w:rsidRDefault="00A07DAC" w:rsidP="00A07DAC">
      <w:pPr>
        <w:spacing w:after="0" w:line="240" w:lineRule="auto"/>
      </w:pPr>
      <w:r>
        <w:separator/>
      </w:r>
    </w:p>
  </w:footnote>
  <w:footnote w:type="continuationSeparator" w:id="0">
    <w:p w:rsidR="00A07DAC" w:rsidRDefault="00A07DAC" w:rsidP="00A0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EEF"/>
    <w:multiLevelType w:val="hybridMultilevel"/>
    <w:tmpl w:val="17E0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128D9"/>
    <w:multiLevelType w:val="hybridMultilevel"/>
    <w:tmpl w:val="98F097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E1A399E"/>
    <w:multiLevelType w:val="hybridMultilevel"/>
    <w:tmpl w:val="3776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C3322F"/>
    <w:multiLevelType w:val="hybridMultilevel"/>
    <w:tmpl w:val="D892EFB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CFD55C2"/>
    <w:multiLevelType w:val="hybridMultilevel"/>
    <w:tmpl w:val="6A44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62"/>
    <w:rsid w:val="00111DDE"/>
    <w:rsid w:val="00190D20"/>
    <w:rsid w:val="00202962"/>
    <w:rsid w:val="00315119"/>
    <w:rsid w:val="00425523"/>
    <w:rsid w:val="004B5AC1"/>
    <w:rsid w:val="004E095B"/>
    <w:rsid w:val="00784494"/>
    <w:rsid w:val="007E3752"/>
    <w:rsid w:val="008A46CF"/>
    <w:rsid w:val="008B787D"/>
    <w:rsid w:val="00A07DAC"/>
    <w:rsid w:val="00AF13F1"/>
    <w:rsid w:val="00B267D5"/>
    <w:rsid w:val="00BE0DCF"/>
    <w:rsid w:val="00D219D7"/>
    <w:rsid w:val="00D81A9F"/>
    <w:rsid w:val="00DB2727"/>
    <w:rsid w:val="00EF4107"/>
    <w:rsid w:val="00F35FA8"/>
    <w:rsid w:val="00F8059E"/>
    <w:rsid w:val="00F841E8"/>
    <w:rsid w:val="00FE7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6581"/>
  <w15:chartTrackingRefBased/>
  <w15:docId w15:val="{ADFDD87B-97B8-46B3-8391-3484E486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2962"/>
    <w:rPr>
      <w:color w:val="0000FF" w:themeColor="hyperlink"/>
      <w:u w:val="single"/>
    </w:rPr>
  </w:style>
  <w:style w:type="paragraph" w:styleId="ListParagraph">
    <w:name w:val="List Paragraph"/>
    <w:basedOn w:val="Normal"/>
    <w:uiPriority w:val="34"/>
    <w:qFormat/>
    <w:rsid w:val="00D219D7"/>
    <w:pPr>
      <w:ind w:left="720"/>
      <w:contextualSpacing/>
    </w:pPr>
  </w:style>
  <w:style w:type="paragraph" w:styleId="NoSpacing">
    <w:name w:val="No Spacing"/>
    <w:uiPriority w:val="1"/>
    <w:qFormat/>
    <w:rsid w:val="007E3752"/>
    <w:pPr>
      <w:spacing w:after="0" w:line="240" w:lineRule="auto"/>
    </w:pPr>
    <w:rPr>
      <w:rFonts w:ascii="Calibri" w:eastAsia="Calibri" w:hAnsi="Calibri" w:cs="Times New Roman"/>
      <w:sz w:val="24"/>
      <w:szCs w:val="24"/>
      <w:lang w:val="en-US"/>
    </w:rPr>
  </w:style>
  <w:style w:type="paragraph" w:styleId="BalloonText">
    <w:name w:val="Balloon Text"/>
    <w:basedOn w:val="Normal"/>
    <w:link w:val="BalloonTextChar"/>
    <w:uiPriority w:val="99"/>
    <w:semiHidden/>
    <w:unhideWhenUsed/>
    <w:rsid w:val="00190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D20"/>
    <w:rPr>
      <w:rFonts w:ascii="Segoe UI" w:hAnsi="Segoe UI" w:cs="Segoe UI"/>
      <w:sz w:val="18"/>
      <w:szCs w:val="18"/>
    </w:rPr>
  </w:style>
  <w:style w:type="character" w:styleId="CommentReference">
    <w:name w:val="annotation reference"/>
    <w:basedOn w:val="DefaultParagraphFont"/>
    <w:uiPriority w:val="99"/>
    <w:semiHidden/>
    <w:unhideWhenUsed/>
    <w:rsid w:val="00A07DAC"/>
    <w:rPr>
      <w:sz w:val="16"/>
      <w:szCs w:val="16"/>
    </w:rPr>
  </w:style>
  <w:style w:type="paragraph" w:styleId="CommentText">
    <w:name w:val="annotation text"/>
    <w:basedOn w:val="Normal"/>
    <w:link w:val="CommentTextChar"/>
    <w:uiPriority w:val="99"/>
    <w:semiHidden/>
    <w:unhideWhenUsed/>
    <w:rsid w:val="00A07DAC"/>
    <w:pPr>
      <w:spacing w:line="240" w:lineRule="auto"/>
    </w:pPr>
    <w:rPr>
      <w:sz w:val="20"/>
      <w:szCs w:val="20"/>
    </w:rPr>
  </w:style>
  <w:style w:type="character" w:customStyle="1" w:styleId="CommentTextChar">
    <w:name w:val="Comment Text Char"/>
    <w:basedOn w:val="DefaultParagraphFont"/>
    <w:link w:val="CommentText"/>
    <w:uiPriority w:val="99"/>
    <w:semiHidden/>
    <w:rsid w:val="00A07DAC"/>
    <w:rPr>
      <w:sz w:val="20"/>
      <w:szCs w:val="20"/>
    </w:rPr>
  </w:style>
  <w:style w:type="paragraph" w:styleId="CommentSubject">
    <w:name w:val="annotation subject"/>
    <w:basedOn w:val="CommentText"/>
    <w:next w:val="CommentText"/>
    <w:link w:val="CommentSubjectChar"/>
    <w:uiPriority w:val="99"/>
    <w:semiHidden/>
    <w:unhideWhenUsed/>
    <w:rsid w:val="00A07DAC"/>
    <w:rPr>
      <w:b/>
      <w:bCs/>
    </w:rPr>
  </w:style>
  <w:style w:type="character" w:customStyle="1" w:styleId="CommentSubjectChar">
    <w:name w:val="Comment Subject Char"/>
    <w:basedOn w:val="CommentTextChar"/>
    <w:link w:val="CommentSubject"/>
    <w:uiPriority w:val="99"/>
    <w:semiHidden/>
    <w:rsid w:val="00A07DAC"/>
    <w:rPr>
      <w:b/>
      <w:bCs/>
      <w:sz w:val="20"/>
      <w:szCs w:val="20"/>
    </w:rPr>
  </w:style>
  <w:style w:type="paragraph" w:styleId="FootnoteText">
    <w:name w:val="footnote text"/>
    <w:basedOn w:val="Normal"/>
    <w:link w:val="FootnoteTextChar"/>
    <w:uiPriority w:val="99"/>
    <w:semiHidden/>
    <w:unhideWhenUsed/>
    <w:rsid w:val="00A07D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DAC"/>
    <w:rPr>
      <w:sz w:val="20"/>
      <w:szCs w:val="20"/>
    </w:rPr>
  </w:style>
  <w:style w:type="character" w:styleId="FootnoteReference">
    <w:name w:val="footnote reference"/>
    <w:basedOn w:val="DefaultParagraphFont"/>
    <w:uiPriority w:val="99"/>
    <w:semiHidden/>
    <w:unhideWhenUsed/>
    <w:rsid w:val="00A07D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51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ly.molevalley.gov.uk/myhr/employment-poli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5016B-0FC4-4259-AD3F-BCF4CD64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Ivackovic, Kate</dc:creator>
  <cp:keywords/>
  <dc:description/>
  <cp:lastModifiedBy>Ivackovic, Kate</cp:lastModifiedBy>
  <cp:revision>5</cp:revision>
  <dcterms:created xsi:type="dcterms:W3CDTF">2021-11-16T16:30:00Z</dcterms:created>
  <dcterms:modified xsi:type="dcterms:W3CDTF">2021-11-16T16:38:00Z</dcterms:modified>
</cp:coreProperties>
</file>