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E3" w:rsidRPr="008560DA" w:rsidRDefault="00EC67F0" w:rsidP="0023477D">
      <w:pPr>
        <w:pStyle w:val="1Heading"/>
        <w:rPr>
          <w:sz w:val="72"/>
          <w:szCs w:val="72"/>
        </w:rPr>
      </w:pPr>
      <w:r>
        <w:rPr>
          <w:sz w:val="72"/>
          <w:szCs w:val="72"/>
        </w:rPr>
        <w:t xml:space="preserve">Staff Hub </w:t>
      </w:r>
      <w:r w:rsidR="00F463E2">
        <w:rPr>
          <w:sz w:val="72"/>
          <w:szCs w:val="72"/>
        </w:rPr>
        <w:t xml:space="preserve">- </w:t>
      </w:r>
      <w:r w:rsidR="00493323">
        <w:rPr>
          <w:sz w:val="72"/>
          <w:szCs w:val="72"/>
        </w:rPr>
        <w:t>use of phones and v</w:t>
      </w:r>
      <w:r>
        <w:rPr>
          <w:sz w:val="72"/>
          <w:szCs w:val="72"/>
        </w:rPr>
        <w:t>oicemail</w:t>
      </w:r>
      <w:r w:rsidR="00493323">
        <w:rPr>
          <w:sz w:val="72"/>
          <w:szCs w:val="72"/>
        </w:rPr>
        <w:t>.</w:t>
      </w:r>
      <w:r>
        <w:rPr>
          <w:sz w:val="72"/>
          <w:szCs w:val="72"/>
        </w:rPr>
        <w:t xml:space="preserve"> </w:t>
      </w:r>
    </w:p>
    <w:p w:rsidR="008560DA" w:rsidRPr="00EC67F0" w:rsidRDefault="00EC67F0">
      <w:pPr>
        <w:rPr>
          <w:rStyle w:val="2SubHeading"/>
        </w:rPr>
      </w:pPr>
      <w:r w:rsidRPr="00EC67F0">
        <w:rPr>
          <w:rFonts w:ascii="Arial" w:hAnsi="Arial"/>
          <w:iCs/>
          <w:color w:val="621A7F"/>
          <w:sz w:val="36"/>
          <w:szCs w:val="36"/>
        </w:rPr>
        <w:t>Ensuring a people focussed culture in our organisation to provide the best possible experience and services for our residents, businesses, and visitors.</w:t>
      </w:r>
    </w:p>
    <w:p w:rsidR="008560DA" w:rsidRDefault="008560DA">
      <w:pPr>
        <w:rPr>
          <w:rStyle w:val="2SubHeading"/>
        </w:rPr>
      </w:pPr>
    </w:p>
    <w:p w:rsidR="00EC67F0" w:rsidRDefault="00EC67F0">
      <w:pPr>
        <w:rPr>
          <w:rStyle w:val="2SubHeading"/>
        </w:rPr>
      </w:pPr>
    </w:p>
    <w:p w:rsidR="008560DA" w:rsidRDefault="008560DA">
      <w:pPr>
        <w:rPr>
          <w:rStyle w:val="2SubHeading"/>
        </w:rPr>
      </w:pPr>
    </w:p>
    <w:p w:rsidR="00044EA8" w:rsidRDefault="00044EA8" w:rsidP="008560DA">
      <w:pPr>
        <w:pStyle w:val="Title"/>
        <w:rPr>
          <w:rStyle w:val="2SubHeading"/>
        </w:rPr>
        <w:sectPr w:rsidR="00044EA8" w:rsidSect="00BD3FC9">
          <w:headerReference w:type="default" r:id="rId8"/>
          <w:footerReference w:type="first" r:id="rId9"/>
          <w:pgSz w:w="11906" w:h="16838" w:code="9"/>
          <w:pgMar w:top="737" w:right="851" w:bottom="3969" w:left="851" w:header="0" w:footer="709" w:gutter="0"/>
          <w:cols w:space="708"/>
          <w:docGrid w:linePitch="360"/>
        </w:sectPr>
      </w:pPr>
    </w:p>
    <w:p w:rsidR="00EC67F0" w:rsidRPr="00044EA8" w:rsidRDefault="00EC67F0" w:rsidP="00EC67F0">
      <w:pPr>
        <w:pStyle w:val="Heading1"/>
      </w:pPr>
      <w:bookmarkStart w:id="0" w:name="_Toc20745664"/>
      <w:bookmarkStart w:id="1" w:name="_Toc20820816"/>
      <w:r w:rsidRPr="00044EA8">
        <w:lastRenderedPageBreak/>
        <w:t>Principles</w:t>
      </w:r>
      <w:bookmarkEnd w:id="0"/>
      <w:bookmarkEnd w:id="1"/>
    </w:p>
    <w:p w:rsidR="00044EA8" w:rsidRDefault="00EC67F0" w:rsidP="00CC078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While the vision for customer contact is “digital first” the reality is we are not quite there yet. </w:t>
      </w:r>
    </w:p>
    <w:p w:rsidR="008D05B2" w:rsidRDefault="006F616C" w:rsidP="008D05B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Answering the phone and using voicemail responsibly can work to your advantage as it is an effective way to build trust.</w:t>
      </w:r>
    </w:p>
    <w:p w:rsidR="008D05B2" w:rsidRDefault="00EC67F0" w:rsidP="008D05B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have a Customer Promise that expects staff to provide customer care that reflects our organisational values to </w:t>
      </w:r>
      <w:r w:rsidR="00493323">
        <w:rPr>
          <w:rFonts w:asciiTheme="minorHAnsi" w:hAnsiTheme="minorHAnsi" w:cstheme="minorHAnsi"/>
          <w:sz w:val="24"/>
          <w:szCs w:val="24"/>
        </w:rPr>
        <w:t>listen, trust, care</w:t>
      </w:r>
      <w:r>
        <w:rPr>
          <w:rFonts w:asciiTheme="minorHAnsi" w:hAnsiTheme="minorHAnsi" w:cstheme="minorHAnsi"/>
          <w:sz w:val="24"/>
          <w:szCs w:val="24"/>
        </w:rPr>
        <w:t xml:space="preserve">, respect and lead. </w:t>
      </w:r>
    </w:p>
    <w:p w:rsidR="006F616C" w:rsidRPr="006F616C" w:rsidRDefault="006F616C" w:rsidP="00F550E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6F616C">
        <w:rPr>
          <w:rFonts w:asciiTheme="minorHAnsi" w:hAnsiTheme="minorHAnsi" w:cstheme="minorHAnsi"/>
          <w:szCs w:val="24"/>
        </w:rPr>
        <w:t>Not answering the phone or responding to voicemails is not an option</w:t>
      </w:r>
      <w:r w:rsidR="00E1537A">
        <w:rPr>
          <w:rFonts w:asciiTheme="minorHAnsi" w:hAnsiTheme="minorHAnsi" w:cstheme="minorHAnsi"/>
          <w:szCs w:val="24"/>
        </w:rPr>
        <w:t>. T</w:t>
      </w:r>
      <w:r w:rsidRPr="006F616C">
        <w:rPr>
          <w:rFonts w:asciiTheme="minorHAnsi" w:hAnsiTheme="minorHAnsi" w:cstheme="minorHAnsi"/>
          <w:szCs w:val="24"/>
        </w:rPr>
        <w:t xml:space="preserve">his project supports Officers to put people first without disrupting the ability for them to focus on their work. </w:t>
      </w:r>
    </w:p>
    <w:p w:rsidR="001A5963" w:rsidRPr="001A5963" w:rsidRDefault="00F463E2" w:rsidP="001A5963">
      <w:pPr>
        <w:pStyle w:val="Heading1"/>
      </w:pPr>
      <w:r>
        <w:t>Directives</w:t>
      </w:r>
    </w:p>
    <w:p w:rsidR="00493323" w:rsidRDefault="00493323" w:rsidP="001A5963">
      <w:r>
        <w:t xml:space="preserve">After carrying out extensive research </w:t>
      </w:r>
      <w:r w:rsidR="00F463E2">
        <w:t>on how phones a</w:t>
      </w:r>
      <w:r w:rsidR="00E1537A">
        <w:t>nd voicemail usage within MVDC a</w:t>
      </w:r>
      <w:r w:rsidR="00F463E2">
        <w:t xml:space="preserve">ffects both staff and customers (including getting feedback from team meetings, SLT, BMT, Customer Care Champions and ICT) </w:t>
      </w:r>
      <w:r>
        <w:t xml:space="preserve">the following </w:t>
      </w:r>
      <w:r w:rsidR="00F463E2">
        <w:t>directives</w:t>
      </w:r>
      <w:r w:rsidR="00E1537A">
        <w:t xml:space="preserve"> are now in place</w:t>
      </w:r>
      <w:r>
        <w:t>:</w:t>
      </w:r>
    </w:p>
    <w:p w:rsidR="00E1537A" w:rsidRDefault="00E1537A" w:rsidP="00E1537A">
      <w:pPr>
        <w:numPr>
          <w:ilvl w:val="0"/>
          <w:numId w:val="9"/>
        </w:numPr>
      </w:pPr>
      <w:r w:rsidRPr="00E1537A">
        <w:t>Phone Cover – all customer facing teams must provide phone cover during the hours that CSU is manned (8:30am – 5.00pm including lunch cover).</w:t>
      </w:r>
    </w:p>
    <w:p w:rsidR="00CC078D" w:rsidRPr="00CC078D" w:rsidRDefault="00493323" w:rsidP="00063BC9">
      <w:pPr>
        <w:numPr>
          <w:ilvl w:val="0"/>
          <w:numId w:val="9"/>
        </w:numPr>
      </w:pPr>
      <w:r>
        <w:t xml:space="preserve">Voicemail – </w:t>
      </w:r>
      <w:r w:rsidR="00E1537A">
        <w:t>w</w:t>
      </w:r>
      <w:r w:rsidR="00E1537A" w:rsidRPr="00E1537A">
        <w:t>ith the exception of marketing calls, a</w:t>
      </w:r>
      <w:r w:rsidR="00E1537A">
        <w:t xml:space="preserve">ll messages must be responded to </w:t>
      </w:r>
      <w:r w:rsidR="00E1537A" w:rsidRPr="00E1537A">
        <w:t xml:space="preserve">by the end of the following working day. </w:t>
      </w:r>
      <w:r w:rsidR="00E1537A">
        <w:t xml:space="preserve"> M</w:t>
      </w:r>
      <w:r>
        <w:t xml:space="preserve">essages should be </w:t>
      </w:r>
      <w:r w:rsidRPr="00B601BD">
        <w:t>up to date</w:t>
      </w:r>
      <w:r w:rsidR="00B601BD">
        <w:t xml:space="preserve"> and should include </w:t>
      </w:r>
      <w:r w:rsidR="00E1537A">
        <w:t xml:space="preserve">the </w:t>
      </w:r>
      <w:r w:rsidR="00B601BD">
        <w:t xml:space="preserve">officer’s annual leave, normal working hours and when customers should expect a call back. </w:t>
      </w:r>
      <w:r>
        <w:t xml:space="preserve"> Voicemail should be treated in exactly the same way as Out Of Office replies in Outlook. It should be clear to a customer when they can expect a call back or who they should contact in an officer’s absence.  </w:t>
      </w:r>
    </w:p>
    <w:p w:rsidR="001A5963" w:rsidRDefault="00493323" w:rsidP="001A5963">
      <w:pPr>
        <w:numPr>
          <w:ilvl w:val="0"/>
          <w:numId w:val="9"/>
        </w:numPr>
      </w:pPr>
      <w:r>
        <w:t>Technology – there will be a link on Molly with quick fire guidance so that staff can easily find how to transfer calls, pick up colleague’s phones and update their voicemail messages etc.</w:t>
      </w:r>
    </w:p>
    <w:p w:rsidR="001A5963" w:rsidRDefault="003E4210" w:rsidP="001A5963">
      <w:pPr>
        <w:numPr>
          <w:ilvl w:val="0"/>
          <w:numId w:val="9"/>
        </w:numPr>
      </w:pPr>
      <w:r>
        <w:t>These</w:t>
      </w:r>
      <w:r w:rsidR="00F463E2">
        <w:t xml:space="preserve"> directives apply to mobile usage in the same way as they do to desk phones. </w:t>
      </w:r>
    </w:p>
    <w:p w:rsidR="00711969" w:rsidRPr="00711969" w:rsidRDefault="00F463E2" w:rsidP="00711969">
      <w:pPr>
        <w:pStyle w:val="Heading1"/>
      </w:pPr>
      <w:r>
        <w:t>Further Support</w:t>
      </w:r>
    </w:p>
    <w:p w:rsidR="00B601BD" w:rsidRDefault="00F463E2" w:rsidP="00F463E2">
      <w:r w:rsidRPr="00F463E2">
        <w:t xml:space="preserve">CSU welcome all teams at their monthly team meetings to discuss any issues or updates on changes to the service area.  This can increase the </w:t>
      </w:r>
      <w:r w:rsidR="00B601BD">
        <w:t>number of calls being dealt with by CSU at First Point of Contact, as well as reducing</w:t>
      </w:r>
      <w:r w:rsidRPr="00F463E2">
        <w:t xml:space="preserve"> the number of unnecessary calls being put through.</w:t>
      </w:r>
      <w:r w:rsidR="00B601BD">
        <w:t xml:space="preserve"> NB CSU team meetings are held 5-7pm.</w:t>
      </w:r>
    </w:p>
    <w:p w:rsidR="00C52980" w:rsidRDefault="00E1537A" w:rsidP="00B601BD">
      <w:r w:rsidRPr="00B601BD">
        <w:t>If CSU are aware a caller is making a marketing call they will provide the group email address for that service area (rather than giving out an individual’s contact details).</w:t>
      </w:r>
    </w:p>
    <w:p w:rsidR="00BB7122" w:rsidRDefault="00BB7122" w:rsidP="00B601BD"/>
    <w:p w:rsidR="007E170F" w:rsidRPr="007E170F" w:rsidRDefault="00BB7122" w:rsidP="00005360">
      <w:r>
        <w:t>February 2020</w:t>
      </w:r>
    </w:p>
    <w:sectPr w:rsidR="007E170F" w:rsidRPr="007E170F" w:rsidSect="007E170F">
      <w:headerReference w:type="default" r:id="rId10"/>
      <w:pgSz w:w="11906" w:h="16838" w:code="9"/>
      <w:pgMar w:top="737" w:right="851" w:bottom="709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5D" w:rsidRDefault="006A595D">
      <w:r>
        <w:separator/>
      </w:r>
    </w:p>
  </w:endnote>
  <w:endnote w:type="continuationSeparator" w:id="0">
    <w:p w:rsidR="006A595D" w:rsidRDefault="006A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B1" w:rsidRDefault="001835B1" w:rsidP="00BF244C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4303">
      <w:rPr>
        <w:noProof/>
      </w:rPr>
      <w:t>2</w:t>
    </w:r>
    <w:r>
      <w:rPr>
        <w:noProof/>
      </w:rPr>
      <w:fldChar w:fldCharType="end"/>
    </w:r>
    <w:r>
      <w:t xml:space="preserve"> | </w:t>
    </w:r>
    <w:r w:rsidRPr="00BF244C">
      <w:rPr>
        <w:color w:val="7F7F7F"/>
        <w:spacing w:val="60"/>
      </w:rPr>
      <w:t>Page</w:t>
    </w:r>
  </w:p>
  <w:p w:rsidR="001835B1" w:rsidRDefault="00183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5D" w:rsidRDefault="006A595D">
      <w:r>
        <w:separator/>
      </w:r>
    </w:p>
  </w:footnote>
  <w:footnote w:type="continuationSeparator" w:id="0">
    <w:p w:rsidR="006A595D" w:rsidRDefault="006A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B1" w:rsidRDefault="001835B1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EDA9C2A" wp14:editId="13A5BDEB">
          <wp:simplePos x="0" y="0"/>
          <wp:positionH relativeFrom="page">
            <wp:align>center</wp:align>
          </wp:positionH>
          <wp:positionV relativeFrom="page">
            <wp:posOffset>5066030</wp:posOffset>
          </wp:positionV>
          <wp:extent cx="7200900" cy="5410200"/>
          <wp:effectExtent l="0" t="0" r="0" b="0"/>
          <wp:wrapNone/>
          <wp:docPr id="2" name="Picture 2" descr="MVDC Temp A4 white border Proc m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DC Temp A4 white border Proc m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541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B1" w:rsidRDefault="00183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06E222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hint="default"/>
        <w:color w:val="1F4E79"/>
      </w:rPr>
    </w:lvl>
  </w:abstractNum>
  <w:abstractNum w:abstractNumId="1" w15:restartNumberingAfterBreak="0">
    <w:nsid w:val="02B16D6C"/>
    <w:multiLevelType w:val="hybridMultilevel"/>
    <w:tmpl w:val="3014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0C"/>
    <w:multiLevelType w:val="hybridMultilevel"/>
    <w:tmpl w:val="29DE97DA"/>
    <w:lvl w:ilvl="0" w:tplc="D696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B55D6"/>
    <w:multiLevelType w:val="hybridMultilevel"/>
    <w:tmpl w:val="61E2BA22"/>
    <w:lvl w:ilvl="0" w:tplc="D696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2CB4"/>
    <w:multiLevelType w:val="hybridMultilevel"/>
    <w:tmpl w:val="816E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0D21"/>
    <w:multiLevelType w:val="hybridMultilevel"/>
    <w:tmpl w:val="A66C1F44"/>
    <w:lvl w:ilvl="0" w:tplc="D696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960BD"/>
    <w:multiLevelType w:val="hybridMultilevel"/>
    <w:tmpl w:val="DC0E7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256C7"/>
    <w:multiLevelType w:val="hybridMultilevel"/>
    <w:tmpl w:val="A22AB48A"/>
    <w:lvl w:ilvl="0" w:tplc="D696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B7C6C"/>
    <w:multiLevelType w:val="hybridMultilevel"/>
    <w:tmpl w:val="4344F0EC"/>
    <w:lvl w:ilvl="0" w:tplc="0FC09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0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B8E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8E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C1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30A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A8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0F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E0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FB367E4"/>
    <w:multiLevelType w:val="hybridMultilevel"/>
    <w:tmpl w:val="C4EE77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82F0A"/>
    <w:multiLevelType w:val="hybridMultilevel"/>
    <w:tmpl w:val="A044D116"/>
    <w:lvl w:ilvl="0" w:tplc="D9A88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7A3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6A6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AB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48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AC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4B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E4B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B04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B7B0028"/>
    <w:multiLevelType w:val="hybridMultilevel"/>
    <w:tmpl w:val="4ECE8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75F8D"/>
    <w:multiLevelType w:val="hybridMultilevel"/>
    <w:tmpl w:val="629EA5B8"/>
    <w:lvl w:ilvl="0" w:tplc="D696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C1837"/>
    <w:multiLevelType w:val="hybridMultilevel"/>
    <w:tmpl w:val="54CEC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81056"/>
    <w:multiLevelType w:val="hybridMultilevel"/>
    <w:tmpl w:val="B400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80DA4"/>
    <w:multiLevelType w:val="hybridMultilevel"/>
    <w:tmpl w:val="FCE48460"/>
    <w:lvl w:ilvl="0" w:tplc="D696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2596D"/>
    <w:multiLevelType w:val="hybridMultilevel"/>
    <w:tmpl w:val="051A2110"/>
    <w:lvl w:ilvl="0" w:tplc="D696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8442E"/>
    <w:multiLevelType w:val="hybridMultilevel"/>
    <w:tmpl w:val="D098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A7644"/>
    <w:multiLevelType w:val="hybridMultilevel"/>
    <w:tmpl w:val="DFD45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30B22"/>
    <w:multiLevelType w:val="hybridMultilevel"/>
    <w:tmpl w:val="A66E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05EFB"/>
    <w:multiLevelType w:val="hybridMultilevel"/>
    <w:tmpl w:val="0D5CEF30"/>
    <w:lvl w:ilvl="0" w:tplc="D696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35404"/>
    <w:multiLevelType w:val="hybridMultilevel"/>
    <w:tmpl w:val="C9FAF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1"/>
  </w:num>
  <w:num w:numId="5">
    <w:abstractNumId w:val="12"/>
  </w:num>
  <w:num w:numId="6">
    <w:abstractNumId w:val="16"/>
  </w:num>
  <w:num w:numId="7">
    <w:abstractNumId w:val="6"/>
  </w:num>
  <w:num w:numId="8">
    <w:abstractNumId w:val="21"/>
  </w:num>
  <w:num w:numId="9">
    <w:abstractNumId w:val="7"/>
  </w:num>
  <w:num w:numId="10">
    <w:abstractNumId w:val="20"/>
  </w:num>
  <w:num w:numId="11">
    <w:abstractNumId w:val="13"/>
  </w:num>
  <w:num w:numId="12">
    <w:abstractNumId w:val="5"/>
  </w:num>
  <w:num w:numId="13">
    <w:abstractNumId w:val="14"/>
  </w:num>
  <w:num w:numId="14">
    <w:abstractNumId w:val="2"/>
  </w:num>
  <w:num w:numId="15">
    <w:abstractNumId w:val="0"/>
  </w:num>
  <w:num w:numId="16">
    <w:abstractNumId w:val="1"/>
  </w:num>
  <w:num w:numId="17">
    <w:abstractNumId w:val="3"/>
  </w:num>
  <w:num w:numId="18">
    <w:abstractNumId w:val="4"/>
  </w:num>
  <w:num w:numId="19">
    <w:abstractNumId w:val="19"/>
  </w:num>
  <w:num w:numId="20">
    <w:abstractNumId w:val="15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F0"/>
    <w:rsid w:val="00005360"/>
    <w:rsid w:val="000352A8"/>
    <w:rsid w:val="00044EA8"/>
    <w:rsid w:val="0008666C"/>
    <w:rsid w:val="000C37E8"/>
    <w:rsid w:val="000C5E0F"/>
    <w:rsid w:val="00126259"/>
    <w:rsid w:val="001479B5"/>
    <w:rsid w:val="001835B1"/>
    <w:rsid w:val="001A5963"/>
    <w:rsid w:val="00210219"/>
    <w:rsid w:val="0023477D"/>
    <w:rsid w:val="002D3BFF"/>
    <w:rsid w:val="002F6E2E"/>
    <w:rsid w:val="00321147"/>
    <w:rsid w:val="00334C6E"/>
    <w:rsid w:val="003D135A"/>
    <w:rsid w:val="003E4210"/>
    <w:rsid w:val="004064E3"/>
    <w:rsid w:val="004113F0"/>
    <w:rsid w:val="00435EC9"/>
    <w:rsid w:val="004726B5"/>
    <w:rsid w:val="00493323"/>
    <w:rsid w:val="00566823"/>
    <w:rsid w:val="00566CF0"/>
    <w:rsid w:val="005765DB"/>
    <w:rsid w:val="005D061B"/>
    <w:rsid w:val="00624F44"/>
    <w:rsid w:val="00693091"/>
    <w:rsid w:val="00697021"/>
    <w:rsid w:val="006A595D"/>
    <w:rsid w:val="006D7819"/>
    <w:rsid w:val="006F616C"/>
    <w:rsid w:val="00711969"/>
    <w:rsid w:val="007E170F"/>
    <w:rsid w:val="00806C46"/>
    <w:rsid w:val="00853B95"/>
    <w:rsid w:val="008560DA"/>
    <w:rsid w:val="008D05B2"/>
    <w:rsid w:val="008E3EBD"/>
    <w:rsid w:val="008E5208"/>
    <w:rsid w:val="00A31189"/>
    <w:rsid w:val="00A619F5"/>
    <w:rsid w:val="00AA5FB6"/>
    <w:rsid w:val="00AC2A9C"/>
    <w:rsid w:val="00AC6863"/>
    <w:rsid w:val="00B22A53"/>
    <w:rsid w:val="00B601BD"/>
    <w:rsid w:val="00BB7122"/>
    <w:rsid w:val="00BD3FC9"/>
    <w:rsid w:val="00BF244C"/>
    <w:rsid w:val="00C04B12"/>
    <w:rsid w:val="00C20882"/>
    <w:rsid w:val="00C43425"/>
    <w:rsid w:val="00C52980"/>
    <w:rsid w:val="00C53C6B"/>
    <w:rsid w:val="00C60376"/>
    <w:rsid w:val="00C64463"/>
    <w:rsid w:val="00C929B6"/>
    <w:rsid w:val="00CB434F"/>
    <w:rsid w:val="00CC078D"/>
    <w:rsid w:val="00D670EF"/>
    <w:rsid w:val="00D7708B"/>
    <w:rsid w:val="00DC0F3C"/>
    <w:rsid w:val="00E1537A"/>
    <w:rsid w:val="00E2521F"/>
    <w:rsid w:val="00E54303"/>
    <w:rsid w:val="00E57C6E"/>
    <w:rsid w:val="00E93454"/>
    <w:rsid w:val="00EA15C0"/>
    <w:rsid w:val="00EA1F84"/>
    <w:rsid w:val="00EC67F0"/>
    <w:rsid w:val="00F004C1"/>
    <w:rsid w:val="00F2527D"/>
    <w:rsid w:val="00F4630E"/>
    <w:rsid w:val="00F463E2"/>
    <w:rsid w:val="00F61D45"/>
    <w:rsid w:val="00F91B45"/>
    <w:rsid w:val="00F92B27"/>
    <w:rsid w:val="00F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0A52D"/>
  <w15:chartTrackingRefBased/>
  <w15:docId w15:val="{61B27C56-AAAC-4C70-950A-E5C733B1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iPriority="35" w:unhideWhenUsed="1" w:qFormat="1"/>
    <w:lsdException w:name="List Bullet" w:uiPriority="1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963"/>
    <w:pPr>
      <w:spacing w:after="120" w:line="264" w:lineRule="auto"/>
    </w:pPr>
    <w:rPr>
      <w:sz w:val="24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963"/>
    <w:pPr>
      <w:keepNext/>
      <w:keepLines/>
      <w:pBdr>
        <w:bottom w:val="single" w:sz="4" w:space="1" w:color="385623"/>
      </w:pBdr>
      <w:spacing w:before="400" w:after="400" w:line="240" w:lineRule="auto"/>
      <w:outlineLvl w:val="0"/>
    </w:pPr>
    <w:rPr>
      <w:rFonts w:ascii="Calibri Light" w:eastAsia="SimSun" w:hAnsi="Calibri Light"/>
      <w:color w:val="7030A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969"/>
    <w:pPr>
      <w:keepNext/>
      <w:keepLines/>
      <w:spacing w:before="160" w:after="160" w:line="240" w:lineRule="auto"/>
      <w:outlineLvl w:val="1"/>
    </w:pPr>
    <w:rPr>
      <w:rFonts w:eastAsia="SimSun"/>
      <w:b/>
      <w:color w:val="38562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1969"/>
    <w:pPr>
      <w:keepNext/>
      <w:keepLines/>
      <w:spacing w:before="80" w:after="0" w:line="240" w:lineRule="auto"/>
      <w:outlineLvl w:val="2"/>
    </w:pPr>
    <w:rPr>
      <w:rFonts w:eastAsia="SimSun"/>
      <w:color w:val="A86ED4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0DA"/>
    <w:pPr>
      <w:keepNext/>
      <w:keepLines/>
      <w:spacing w:before="80" w:after="0"/>
      <w:outlineLvl w:val="3"/>
    </w:pPr>
    <w:rPr>
      <w:rFonts w:ascii="Calibri Light" w:eastAsia="SimSun" w:hAnsi="Calibri Light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0DA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0DA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0DA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0DA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0DA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5963"/>
    <w:rPr>
      <w:rFonts w:ascii="Calibri Light" w:eastAsia="SimSun" w:hAnsi="Calibri Light"/>
      <w:color w:val="7030A0"/>
      <w:sz w:val="36"/>
      <w:szCs w:val="36"/>
    </w:rPr>
  </w:style>
  <w:style w:type="character" w:customStyle="1" w:styleId="Heading2Char">
    <w:name w:val="Heading 2 Char"/>
    <w:link w:val="Heading2"/>
    <w:uiPriority w:val="9"/>
    <w:rsid w:val="00711969"/>
    <w:rPr>
      <w:rFonts w:eastAsia="SimSun"/>
      <w:b/>
      <w:color w:val="385623"/>
      <w:sz w:val="28"/>
      <w:szCs w:val="28"/>
    </w:rPr>
  </w:style>
  <w:style w:type="paragraph" w:customStyle="1" w:styleId="1Heading">
    <w:name w:val="1.Heading"/>
    <w:basedOn w:val="Normal"/>
    <w:rsid w:val="0023477D"/>
    <w:pPr>
      <w:spacing w:after="140" w:line="960" w:lineRule="exact"/>
    </w:pPr>
    <w:rPr>
      <w:rFonts w:ascii="Arial" w:hAnsi="Arial"/>
      <w:color w:val="01633C"/>
      <w:sz w:val="90"/>
      <w:szCs w:val="20"/>
    </w:rPr>
  </w:style>
  <w:style w:type="character" w:customStyle="1" w:styleId="2SubHeading">
    <w:name w:val="2. Sub Heading"/>
    <w:rsid w:val="0023477D"/>
    <w:rPr>
      <w:rFonts w:ascii="Arial" w:hAnsi="Arial"/>
      <w:color w:val="621A7F"/>
      <w:sz w:val="60"/>
    </w:rPr>
  </w:style>
  <w:style w:type="character" w:customStyle="1" w:styleId="Heading3Char">
    <w:name w:val="Heading 3 Char"/>
    <w:link w:val="Heading3"/>
    <w:uiPriority w:val="9"/>
    <w:rsid w:val="00711969"/>
    <w:rPr>
      <w:rFonts w:eastAsia="SimSun"/>
      <w:color w:val="A86ED4"/>
      <w:sz w:val="28"/>
      <w:szCs w:val="26"/>
    </w:rPr>
  </w:style>
  <w:style w:type="character" w:customStyle="1" w:styleId="Heading4Char">
    <w:name w:val="Heading 4 Char"/>
    <w:link w:val="Heading4"/>
    <w:uiPriority w:val="9"/>
    <w:semiHidden/>
    <w:rsid w:val="008560DA"/>
    <w:rPr>
      <w:rFonts w:ascii="Calibri Light" w:eastAsia="SimSun" w:hAnsi="Calibri Light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8560DA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8560DA"/>
    <w:rPr>
      <w:rFonts w:ascii="Calibri Light" w:eastAsia="SimSun" w:hAnsi="Calibri Light" w:cs="Times New Roman"/>
      <w:color w:val="595959"/>
    </w:rPr>
  </w:style>
  <w:style w:type="character" w:customStyle="1" w:styleId="Heading7Char">
    <w:name w:val="Heading 7 Char"/>
    <w:link w:val="Heading7"/>
    <w:uiPriority w:val="9"/>
    <w:semiHidden/>
    <w:rsid w:val="008560DA"/>
    <w:rPr>
      <w:rFonts w:ascii="Calibri Light" w:eastAsia="SimSun" w:hAnsi="Calibri Light" w:cs="Times New Roman"/>
      <w:i/>
      <w:iCs/>
      <w:color w:val="595959"/>
    </w:rPr>
  </w:style>
  <w:style w:type="character" w:customStyle="1" w:styleId="Heading8Char">
    <w:name w:val="Heading 8 Char"/>
    <w:link w:val="Heading8"/>
    <w:uiPriority w:val="9"/>
    <w:semiHidden/>
    <w:rsid w:val="008560DA"/>
    <w:rPr>
      <w:rFonts w:ascii="Calibri Light" w:eastAsia="SimSun" w:hAnsi="Calibri Light" w:cs="Times New Roman"/>
      <w:smallCaps/>
      <w:color w:val="595959"/>
    </w:rPr>
  </w:style>
  <w:style w:type="character" w:customStyle="1" w:styleId="Heading9Char">
    <w:name w:val="Heading 9 Char"/>
    <w:link w:val="Heading9"/>
    <w:uiPriority w:val="9"/>
    <w:semiHidden/>
    <w:rsid w:val="008560DA"/>
    <w:rPr>
      <w:rFonts w:ascii="Calibri Light" w:eastAsia="SimSun" w:hAnsi="Calibri Light" w:cs="Times New Roman"/>
      <w:i/>
      <w:iCs/>
      <w:smallCaps/>
      <w:color w:val="59595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60DA"/>
    <w:pPr>
      <w:spacing w:line="240" w:lineRule="auto"/>
    </w:pPr>
    <w:rPr>
      <w:b/>
      <w:b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560DA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TitleChar">
    <w:name w:val="Title Char"/>
    <w:link w:val="Title"/>
    <w:uiPriority w:val="10"/>
    <w:rsid w:val="008560DA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0DA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SubtitleChar">
    <w:name w:val="Subtitle Char"/>
    <w:link w:val="Subtitle"/>
    <w:uiPriority w:val="11"/>
    <w:rsid w:val="008560DA"/>
    <w:rPr>
      <w:rFonts w:ascii="Calibri Light" w:eastAsia="SimSun" w:hAnsi="Calibri Light" w:cs="Times New Roman"/>
      <w:color w:val="404040"/>
      <w:sz w:val="30"/>
      <w:szCs w:val="30"/>
    </w:rPr>
  </w:style>
  <w:style w:type="character" w:styleId="Strong">
    <w:name w:val="Strong"/>
    <w:uiPriority w:val="22"/>
    <w:qFormat/>
    <w:rsid w:val="008560DA"/>
    <w:rPr>
      <w:b/>
      <w:bCs/>
    </w:rPr>
  </w:style>
  <w:style w:type="character" w:styleId="Emphasis">
    <w:name w:val="Emphasis"/>
    <w:uiPriority w:val="20"/>
    <w:qFormat/>
    <w:rsid w:val="008560DA"/>
    <w:rPr>
      <w:i/>
      <w:iCs/>
    </w:rPr>
  </w:style>
  <w:style w:type="paragraph" w:styleId="NoSpacing">
    <w:name w:val="No Spacing"/>
    <w:link w:val="NoSpacingChar"/>
    <w:uiPriority w:val="1"/>
    <w:qFormat/>
    <w:rsid w:val="008560DA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560D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rsid w:val="008560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0DA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8560DA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8560DA"/>
    <w:rPr>
      <w:i/>
      <w:iCs/>
      <w:color w:val="595959"/>
    </w:rPr>
  </w:style>
  <w:style w:type="character" w:styleId="IntenseEmphasis">
    <w:name w:val="Intense Emphasis"/>
    <w:uiPriority w:val="21"/>
    <w:qFormat/>
    <w:rsid w:val="008560DA"/>
    <w:rPr>
      <w:b/>
      <w:bCs/>
      <w:i/>
      <w:iCs/>
    </w:rPr>
  </w:style>
  <w:style w:type="character" w:styleId="SubtleReference">
    <w:name w:val="Subtle Reference"/>
    <w:uiPriority w:val="31"/>
    <w:qFormat/>
    <w:rsid w:val="008560DA"/>
    <w:rPr>
      <w:smallCaps/>
      <w:color w:val="404040"/>
    </w:rPr>
  </w:style>
  <w:style w:type="character" w:styleId="IntenseReference">
    <w:name w:val="Intense Reference"/>
    <w:uiPriority w:val="32"/>
    <w:qFormat/>
    <w:rsid w:val="008560DA"/>
    <w:rPr>
      <w:b/>
      <w:bCs/>
      <w:smallCaps/>
      <w:u w:val="single"/>
    </w:rPr>
  </w:style>
  <w:style w:type="character" w:styleId="BookTitle">
    <w:name w:val="Book Title"/>
    <w:uiPriority w:val="33"/>
    <w:qFormat/>
    <w:rsid w:val="008560D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8560DA"/>
    <w:pPr>
      <w:pBdr>
        <w:bottom w:val="single" w:sz="4" w:space="1" w:color="5B9BD5"/>
      </w:pBdr>
      <w:outlineLvl w:val="9"/>
    </w:pPr>
    <w:rPr>
      <w:color w:val="2E74B5"/>
    </w:rPr>
  </w:style>
  <w:style w:type="paragraph" w:styleId="Header">
    <w:name w:val="header"/>
    <w:basedOn w:val="Normal"/>
    <w:link w:val="HeaderChar"/>
    <w:rsid w:val="00044E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44EA8"/>
  </w:style>
  <w:style w:type="paragraph" w:styleId="Footer">
    <w:name w:val="footer"/>
    <w:basedOn w:val="Normal"/>
    <w:link w:val="FooterChar"/>
    <w:uiPriority w:val="99"/>
    <w:rsid w:val="00044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EA8"/>
  </w:style>
  <w:style w:type="paragraph" w:styleId="ListParagraph">
    <w:name w:val="List Paragraph"/>
    <w:basedOn w:val="Normal"/>
    <w:uiPriority w:val="34"/>
    <w:unhideWhenUsed/>
    <w:qFormat/>
    <w:rsid w:val="00044EA8"/>
    <w:pPr>
      <w:spacing w:before="120" w:after="0"/>
      <w:ind w:left="720"/>
      <w:contextualSpacing/>
    </w:pPr>
    <w:rPr>
      <w:rFonts w:ascii="Arial" w:hAnsi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7E170F"/>
  </w:style>
  <w:style w:type="paragraph" w:styleId="ListBullet">
    <w:name w:val="List Bullet"/>
    <w:basedOn w:val="Normal"/>
    <w:uiPriority w:val="11"/>
    <w:qFormat/>
    <w:rsid w:val="00711969"/>
    <w:pPr>
      <w:numPr>
        <w:numId w:val="15"/>
      </w:numPr>
      <w:spacing w:before="120" w:after="0"/>
      <w:ind w:left="720" w:hanging="360"/>
    </w:pPr>
    <w:rPr>
      <w:rFonts w:ascii="Arial" w:hAnsi="Arial"/>
      <w:color w:val="373545"/>
      <w:sz w:val="22"/>
      <w:szCs w:val="22"/>
      <w:lang w:eastAsia="ja-JP"/>
    </w:rPr>
  </w:style>
  <w:style w:type="character" w:styleId="Hyperlink">
    <w:name w:val="Hyperlink"/>
    <w:uiPriority w:val="99"/>
    <w:unhideWhenUsed/>
    <w:rsid w:val="00711969"/>
    <w:rPr>
      <w:color w:val="1A495D"/>
      <w:u w:val="single"/>
    </w:rPr>
  </w:style>
  <w:style w:type="paragraph" w:styleId="TOC1">
    <w:name w:val="toc 1"/>
    <w:basedOn w:val="Normal"/>
    <w:next w:val="Normal"/>
    <w:autoRedefine/>
    <w:uiPriority w:val="39"/>
    <w:rsid w:val="00F2527D"/>
  </w:style>
  <w:style w:type="paragraph" w:styleId="TOC2">
    <w:name w:val="toc 2"/>
    <w:basedOn w:val="Normal"/>
    <w:next w:val="Normal"/>
    <w:autoRedefine/>
    <w:uiPriority w:val="39"/>
    <w:rsid w:val="00F2527D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F2527D"/>
    <w:pPr>
      <w:ind w:left="480"/>
    </w:pPr>
  </w:style>
  <w:style w:type="paragraph" w:styleId="BalloonText">
    <w:name w:val="Balloon Text"/>
    <w:basedOn w:val="Normal"/>
    <w:link w:val="BalloonTextChar"/>
    <w:rsid w:val="00853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3B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6930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3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3091"/>
  </w:style>
  <w:style w:type="paragraph" w:styleId="CommentSubject">
    <w:name w:val="annotation subject"/>
    <w:basedOn w:val="CommentText"/>
    <w:next w:val="CommentText"/>
    <w:link w:val="CommentSubjectChar"/>
    <w:rsid w:val="00693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3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6F19-3AD4-49CE-AF88-E47C2EB2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heading one here</vt:lpstr>
    </vt:vector>
  </TitlesOfParts>
  <Company>Squiggle</Company>
  <LinksUpToDate>false</LinksUpToDate>
  <CharactersWithSpaces>2447</CharactersWithSpaces>
  <SharedDoc>false</SharedDoc>
  <HLinks>
    <vt:vector size="204" baseType="variant">
      <vt:variant>
        <vt:i4>7536715</vt:i4>
      </vt:variant>
      <vt:variant>
        <vt:i4>195</vt:i4>
      </vt:variant>
      <vt:variant>
        <vt:i4>0</vt:i4>
      </vt:variant>
      <vt:variant>
        <vt:i4>5</vt:i4>
      </vt:variant>
      <vt:variant>
        <vt:lpwstr>mailto:hr.admin@molevalley.gov.uk</vt:lpwstr>
      </vt:variant>
      <vt:variant>
        <vt:lpwstr/>
      </vt:variant>
      <vt:variant>
        <vt:i4>7536715</vt:i4>
      </vt:variant>
      <vt:variant>
        <vt:i4>192</vt:i4>
      </vt:variant>
      <vt:variant>
        <vt:i4>0</vt:i4>
      </vt:variant>
      <vt:variant>
        <vt:i4>5</vt:i4>
      </vt:variant>
      <vt:variant>
        <vt:lpwstr>mailto:hr.admin@molevalley.gov.uk</vt:lpwstr>
      </vt:variant>
      <vt:variant>
        <vt:lpwstr/>
      </vt:variant>
      <vt:variant>
        <vt:i4>7536715</vt:i4>
      </vt:variant>
      <vt:variant>
        <vt:i4>189</vt:i4>
      </vt:variant>
      <vt:variant>
        <vt:i4>0</vt:i4>
      </vt:variant>
      <vt:variant>
        <vt:i4>5</vt:i4>
      </vt:variant>
      <vt:variant>
        <vt:lpwstr>mailto:hr.admin@molevalley.gov.uk</vt:lpwstr>
      </vt:variant>
      <vt:variant>
        <vt:lpwstr/>
      </vt:variant>
      <vt:variant>
        <vt:i4>1572926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_Toc20820845</vt:lpwstr>
      </vt:variant>
      <vt:variant>
        <vt:i4>1638462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_Toc20820844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_Toc20820843</vt:lpwstr>
      </vt:variant>
      <vt:variant>
        <vt:i4>2031678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_Toc20820842</vt:lpwstr>
      </vt:variant>
      <vt:variant>
        <vt:i4>1835070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_Toc20820841</vt:lpwstr>
      </vt:variant>
      <vt:variant>
        <vt:i4>1900606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_Toc20820840</vt:lpwstr>
      </vt:variant>
      <vt:variant>
        <vt:i4>1310777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_Toc20820839</vt:lpwstr>
      </vt:variant>
      <vt:variant>
        <vt:i4>1376313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_Toc20820838</vt:lpwstr>
      </vt:variant>
      <vt:variant>
        <vt:i4>1703993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_Toc20820837</vt:lpwstr>
      </vt:variant>
      <vt:variant>
        <vt:i4>1769529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_Toc20820836</vt:lpwstr>
      </vt:variant>
      <vt:variant>
        <vt:i4>1572921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_Toc20820835</vt:lpwstr>
      </vt:variant>
      <vt:variant>
        <vt:i4>1638457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_Toc20820834</vt:lpwstr>
      </vt:variant>
      <vt:variant>
        <vt:i4>1966137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_Toc20820833</vt:lpwstr>
      </vt:variant>
      <vt:variant>
        <vt:i4>2031673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_Toc20820832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_Toc20820831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_Toc20820830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_Toc20820829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_Toc20820828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_Toc20820827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_Toc20820826</vt:lpwstr>
      </vt:variant>
      <vt:variant>
        <vt:i4>1572920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_Toc20820825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_Toc20820824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_Toc20820823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_Toc20820822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_Toc20820821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_Toc20820820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_Toc20820819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_Toc20820818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_Toc20820817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_Toc20820816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_Toc20820815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heading one here</dc:title>
  <dc:subject/>
  <dc:creator>Hurman, Joy</dc:creator>
  <cp:keywords/>
  <dc:description/>
  <cp:lastModifiedBy>Butcher, Kate</cp:lastModifiedBy>
  <cp:revision>5</cp:revision>
  <cp:lastPrinted>2019-11-18T16:09:00Z</cp:lastPrinted>
  <dcterms:created xsi:type="dcterms:W3CDTF">2019-12-09T13:16:00Z</dcterms:created>
  <dcterms:modified xsi:type="dcterms:W3CDTF">2021-10-20T07:35:00Z</dcterms:modified>
</cp:coreProperties>
</file>